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FD68C" w14:textId="77777777" w:rsidR="00002DE8" w:rsidRDefault="00002DE8">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289"/>
        <w:gridCol w:w="2551"/>
        <w:gridCol w:w="2381"/>
      </w:tblGrid>
      <w:tr w:rsidR="00002DE8" w:rsidRPr="00F77C40" w14:paraId="6A8C2296" w14:textId="77777777" w:rsidTr="00F77C40">
        <w:trPr>
          <w:trHeight w:hRule="exact" w:val="486"/>
        </w:trPr>
        <w:tc>
          <w:tcPr>
            <w:tcW w:w="1418" w:type="dxa"/>
            <w:shd w:val="pct20" w:color="auto" w:fill="FFFFFF"/>
          </w:tcPr>
          <w:p w14:paraId="1896AAE7" w14:textId="77777777" w:rsidR="00002DE8" w:rsidRPr="00F77C40" w:rsidRDefault="00002DE8" w:rsidP="005F018A">
            <w:pPr>
              <w:rPr>
                <w:rFonts w:ascii="Calibri" w:hAnsi="Calibri" w:cs="Calibri"/>
                <w:sz w:val="20"/>
                <w:szCs w:val="20"/>
              </w:rPr>
            </w:pPr>
            <w:r w:rsidRPr="00F77C40">
              <w:rPr>
                <w:rFonts w:ascii="Calibri" w:hAnsi="Calibri" w:cs="Calibri"/>
                <w:sz w:val="20"/>
                <w:szCs w:val="20"/>
              </w:rPr>
              <w:t>Tytuł</w:t>
            </w:r>
            <w:r w:rsidR="00B77477" w:rsidRPr="00F77C40">
              <w:rPr>
                <w:rFonts w:ascii="Calibri" w:hAnsi="Calibri" w:cs="Calibri"/>
                <w:sz w:val="20"/>
                <w:szCs w:val="20"/>
              </w:rPr>
              <w:t>:</w:t>
            </w:r>
          </w:p>
          <w:p w14:paraId="672724ED" w14:textId="77777777" w:rsidR="00002DE8" w:rsidRPr="00F77C40" w:rsidRDefault="00002DE8" w:rsidP="005F018A">
            <w:pPr>
              <w:rPr>
                <w:rFonts w:ascii="Calibri" w:hAnsi="Calibri" w:cs="Calibri"/>
                <w:sz w:val="20"/>
                <w:szCs w:val="20"/>
              </w:rPr>
            </w:pPr>
          </w:p>
        </w:tc>
        <w:tc>
          <w:tcPr>
            <w:tcW w:w="8221" w:type="dxa"/>
            <w:gridSpan w:val="3"/>
          </w:tcPr>
          <w:p w14:paraId="62423331" w14:textId="77777777" w:rsidR="002823D3" w:rsidRPr="00F77C40" w:rsidRDefault="002823D3" w:rsidP="002823D3">
            <w:pPr>
              <w:rPr>
                <w:rFonts w:ascii="Calibri" w:hAnsi="Calibri" w:cs="Calibri"/>
                <w:sz w:val="20"/>
                <w:szCs w:val="20"/>
                <w:lang w:val="pl-PL"/>
              </w:rPr>
            </w:pPr>
            <w:r w:rsidRPr="00F77C40">
              <w:rPr>
                <w:rFonts w:ascii="Calibri" w:hAnsi="Calibri" w:cs="Calibri"/>
                <w:sz w:val="20"/>
                <w:szCs w:val="20"/>
                <w:lang w:val="pl-PL"/>
              </w:rPr>
              <w:t>Interdyscyplinarne wykorzystanie Technologii Trójwymiarowych w Chirurgii Dziecięcej</w:t>
            </w:r>
          </w:p>
          <w:p w14:paraId="20B2C335" w14:textId="77777777" w:rsidR="002823D3" w:rsidRPr="00F77C40" w:rsidRDefault="002823D3" w:rsidP="002823D3">
            <w:pPr>
              <w:rPr>
                <w:rFonts w:ascii="Calibri" w:hAnsi="Calibri" w:cs="Calibri"/>
                <w:sz w:val="20"/>
                <w:szCs w:val="20"/>
                <w:lang w:val="pl-PL"/>
              </w:rPr>
            </w:pPr>
          </w:p>
          <w:p w14:paraId="63C07D19" w14:textId="77777777" w:rsidR="00002DE8" w:rsidRPr="00F77C40" w:rsidRDefault="00002DE8" w:rsidP="005F018A">
            <w:pPr>
              <w:rPr>
                <w:rFonts w:ascii="Calibri" w:hAnsi="Calibri" w:cs="Calibri"/>
                <w:sz w:val="20"/>
                <w:szCs w:val="20"/>
                <w:lang w:val="pl-PL"/>
              </w:rPr>
            </w:pPr>
          </w:p>
        </w:tc>
      </w:tr>
      <w:tr w:rsidR="00002DE8" w:rsidRPr="00F77C40" w14:paraId="0FE63D9E" w14:textId="77777777" w:rsidTr="00DD5DB7">
        <w:trPr>
          <w:trHeight w:hRule="exact" w:val="639"/>
        </w:trPr>
        <w:tc>
          <w:tcPr>
            <w:tcW w:w="1418" w:type="dxa"/>
            <w:shd w:val="pct20" w:color="auto" w:fill="FFFFFF"/>
          </w:tcPr>
          <w:p w14:paraId="1D17D406" w14:textId="77777777" w:rsidR="00002DE8" w:rsidRPr="00F77C40" w:rsidRDefault="00002DE8" w:rsidP="005F018A">
            <w:pPr>
              <w:rPr>
                <w:rFonts w:ascii="Calibri" w:hAnsi="Calibri" w:cs="Calibri"/>
                <w:sz w:val="20"/>
                <w:szCs w:val="20"/>
                <w:lang w:val="pl-PL"/>
              </w:rPr>
            </w:pPr>
            <w:r w:rsidRPr="00F77C40">
              <w:rPr>
                <w:rFonts w:ascii="Calibri" w:hAnsi="Calibri" w:cs="Calibri"/>
                <w:sz w:val="20"/>
                <w:szCs w:val="20"/>
                <w:lang w:val="pl-PL"/>
              </w:rPr>
              <w:t>Autorzy</w:t>
            </w:r>
            <w:r w:rsidR="00B77477" w:rsidRPr="00F77C40">
              <w:rPr>
                <w:rFonts w:ascii="Calibri" w:hAnsi="Calibri" w:cs="Calibri"/>
                <w:sz w:val="20"/>
                <w:szCs w:val="20"/>
                <w:lang w:val="pl-PL"/>
              </w:rPr>
              <w:t>:</w:t>
            </w:r>
            <w:r w:rsidRPr="00F77C40">
              <w:rPr>
                <w:rFonts w:ascii="Calibri" w:hAnsi="Calibri" w:cs="Calibri"/>
                <w:sz w:val="20"/>
                <w:szCs w:val="20"/>
                <w:lang w:val="pl-PL"/>
              </w:rPr>
              <w:t xml:space="preserve"> </w:t>
            </w:r>
          </w:p>
        </w:tc>
        <w:tc>
          <w:tcPr>
            <w:tcW w:w="8221" w:type="dxa"/>
            <w:gridSpan w:val="3"/>
          </w:tcPr>
          <w:p w14:paraId="362DA380" w14:textId="5C832A19" w:rsidR="00002DE8" w:rsidRPr="00F77C40" w:rsidRDefault="0021491E" w:rsidP="005F018A">
            <w:pPr>
              <w:rPr>
                <w:rFonts w:ascii="Calibri" w:hAnsi="Calibri" w:cs="Calibri"/>
                <w:sz w:val="20"/>
                <w:szCs w:val="20"/>
                <w:lang w:val="pl-PL"/>
              </w:rPr>
            </w:pPr>
            <w:r w:rsidRPr="00F77C40">
              <w:rPr>
                <w:rFonts w:ascii="Calibri" w:hAnsi="Calibri" w:cs="Calibri"/>
                <w:sz w:val="20"/>
                <w:szCs w:val="20"/>
                <w:lang w:val="pl-PL"/>
              </w:rPr>
              <w:t xml:space="preserve">Bartosz Gajek, Justyna Rajewska-Majchrzak, Małgorzata Rybarczyk, </w:t>
            </w:r>
            <w:r w:rsidR="002823D3" w:rsidRPr="00F77C40">
              <w:rPr>
                <w:rFonts w:ascii="Calibri" w:hAnsi="Calibri" w:cs="Calibri"/>
                <w:sz w:val="20"/>
                <w:szCs w:val="20"/>
                <w:lang w:val="pl-PL"/>
              </w:rPr>
              <w:t xml:space="preserve">Kaja Giżewska-Kacprzak </w:t>
            </w:r>
          </w:p>
        </w:tc>
      </w:tr>
      <w:tr w:rsidR="00002DE8" w:rsidRPr="00F77C40" w14:paraId="64B6AC3D" w14:textId="77777777" w:rsidTr="00F77C40">
        <w:trPr>
          <w:trHeight w:hRule="exact" w:val="1054"/>
        </w:trPr>
        <w:tc>
          <w:tcPr>
            <w:tcW w:w="1418" w:type="dxa"/>
            <w:shd w:val="pct20" w:color="auto" w:fill="FFFFFF"/>
          </w:tcPr>
          <w:p w14:paraId="0ED6A141" w14:textId="77777777" w:rsidR="00FA1B54" w:rsidRPr="00F77C40" w:rsidRDefault="00002DE8" w:rsidP="005F018A">
            <w:pPr>
              <w:rPr>
                <w:rFonts w:ascii="Calibri" w:hAnsi="Calibri" w:cs="Calibri"/>
                <w:sz w:val="20"/>
                <w:szCs w:val="20"/>
                <w:lang w:val="pl-PL"/>
              </w:rPr>
            </w:pPr>
            <w:r w:rsidRPr="00F77C40">
              <w:rPr>
                <w:rFonts w:ascii="Calibri" w:hAnsi="Calibri" w:cs="Calibri"/>
                <w:sz w:val="20"/>
                <w:szCs w:val="20"/>
                <w:lang w:val="pl-PL"/>
              </w:rPr>
              <w:t>Ośrodek</w:t>
            </w:r>
            <w:r w:rsidR="00B77477" w:rsidRPr="00F77C40">
              <w:rPr>
                <w:rFonts w:ascii="Calibri" w:hAnsi="Calibri" w:cs="Calibri"/>
                <w:sz w:val="20"/>
                <w:szCs w:val="20"/>
                <w:lang w:val="pl-PL"/>
              </w:rPr>
              <w:t>:</w:t>
            </w:r>
          </w:p>
          <w:p w14:paraId="5AF4FFB2" w14:textId="77777777" w:rsidR="00002DE8" w:rsidRPr="00F77C40" w:rsidRDefault="00FA1B54" w:rsidP="005F018A">
            <w:pPr>
              <w:rPr>
                <w:rFonts w:ascii="Calibri" w:hAnsi="Calibri" w:cs="Calibri"/>
                <w:sz w:val="20"/>
                <w:szCs w:val="20"/>
                <w:lang w:val="pl-PL"/>
              </w:rPr>
            </w:pPr>
            <w:r w:rsidRPr="00F77C40">
              <w:rPr>
                <w:rFonts w:ascii="Calibri" w:hAnsi="Calibri" w:cs="Calibri"/>
                <w:sz w:val="20"/>
                <w:szCs w:val="20"/>
                <w:lang w:val="pl-PL"/>
              </w:rPr>
              <w:t>E-mail:</w:t>
            </w:r>
          </w:p>
        </w:tc>
        <w:tc>
          <w:tcPr>
            <w:tcW w:w="8221" w:type="dxa"/>
            <w:gridSpan w:val="3"/>
          </w:tcPr>
          <w:p w14:paraId="0BAF6F5E" w14:textId="77777777" w:rsidR="002823D3" w:rsidRPr="00F77C40" w:rsidRDefault="002823D3" w:rsidP="002823D3">
            <w:pPr>
              <w:rPr>
                <w:rFonts w:ascii="Calibri" w:hAnsi="Calibri" w:cs="Calibri"/>
                <w:sz w:val="20"/>
                <w:szCs w:val="20"/>
                <w:lang w:val="pl-PL"/>
              </w:rPr>
            </w:pPr>
            <w:r w:rsidRPr="00F77C40">
              <w:rPr>
                <w:rFonts w:ascii="Calibri" w:hAnsi="Calibri" w:cs="Calibri"/>
                <w:sz w:val="20"/>
                <w:szCs w:val="20"/>
                <w:lang w:val="pl-PL"/>
              </w:rPr>
              <w:t>Oddział Kliniczny Chirurgii Dziecięcej, Onkologicznej, Urologii i Chirurgii Ręki</w:t>
            </w:r>
          </w:p>
          <w:p w14:paraId="27815DD1" w14:textId="48554E73" w:rsidR="002823D3" w:rsidRPr="00F77C40" w:rsidRDefault="002823D3" w:rsidP="002823D3">
            <w:pPr>
              <w:rPr>
                <w:rFonts w:ascii="Calibri" w:hAnsi="Calibri" w:cs="Calibri"/>
                <w:sz w:val="20"/>
                <w:szCs w:val="20"/>
                <w:lang w:val="pl-PL"/>
              </w:rPr>
            </w:pPr>
            <w:r w:rsidRPr="00F77C40">
              <w:rPr>
                <w:rFonts w:ascii="Calibri" w:hAnsi="Calibri" w:cs="Calibri"/>
                <w:sz w:val="20"/>
                <w:szCs w:val="20"/>
                <w:lang w:val="pl-PL"/>
              </w:rPr>
              <w:t>Pomorski Uniwersytet Medyczny w Szczecinie</w:t>
            </w:r>
          </w:p>
          <w:p w14:paraId="6FA66076" w14:textId="16AEBFED" w:rsidR="002823D3" w:rsidRDefault="0021491E" w:rsidP="002823D3">
            <w:pPr>
              <w:rPr>
                <w:rFonts w:ascii="Calibri" w:hAnsi="Calibri" w:cs="Calibri"/>
                <w:sz w:val="20"/>
                <w:szCs w:val="20"/>
                <w:lang w:val="pl-PL"/>
              </w:rPr>
            </w:pPr>
            <w:r w:rsidRPr="00F77C40">
              <w:rPr>
                <w:rFonts w:ascii="Calibri" w:hAnsi="Calibri" w:cs="Calibri"/>
                <w:sz w:val="20"/>
                <w:szCs w:val="20"/>
                <w:lang w:val="pl-PL"/>
              </w:rPr>
              <w:pgNum/>
            </w:r>
            <w:r w:rsidRPr="00F77C40">
              <w:rPr>
                <w:rFonts w:ascii="Calibri" w:hAnsi="Calibri" w:cs="Calibri"/>
                <w:sz w:val="20"/>
                <w:szCs w:val="20"/>
                <w:lang w:val="pl-PL"/>
              </w:rPr>
              <w:t>bartosz</w:t>
            </w:r>
            <w:r w:rsidR="00392DE9" w:rsidRPr="00F77C40">
              <w:rPr>
                <w:rFonts w:ascii="Calibri" w:hAnsi="Calibri" w:cs="Calibri"/>
                <w:sz w:val="20"/>
                <w:szCs w:val="20"/>
                <w:lang w:val="pl-PL"/>
              </w:rPr>
              <w:t>.gajek@pum.edu.pl</w:t>
            </w:r>
            <w:r w:rsidR="00F77C40">
              <w:rPr>
                <w:rFonts w:ascii="Calibri" w:hAnsi="Calibri" w:cs="Calibri"/>
                <w:sz w:val="20"/>
                <w:szCs w:val="20"/>
                <w:lang w:val="pl-PL"/>
              </w:rPr>
              <w:t xml:space="preserve">  </w:t>
            </w:r>
            <w:r w:rsidR="002823D3" w:rsidRPr="00F77C40">
              <w:rPr>
                <w:rFonts w:ascii="Calibri" w:hAnsi="Calibri" w:cs="Calibri"/>
                <w:sz w:val="20"/>
                <w:szCs w:val="20"/>
                <w:lang w:val="pl-PL"/>
              </w:rPr>
              <w:t xml:space="preserve"> </w:t>
            </w:r>
            <w:hyperlink r:id="rId7" w:history="1">
              <w:r w:rsidR="00F77C40" w:rsidRPr="001D3061">
                <w:rPr>
                  <w:rStyle w:val="Hipercze"/>
                  <w:rFonts w:ascii="Calibri" w:hAnsi="Calibri" w:cs="Calibri"/>
                  <w:sz w:val="20"/>
                  <w:szCs w:val="20"/>
                  <w:lang w:val="pl-PL"/>
                </w:rPr>
                <w:t>kaja.gizewska.kacprzak@pum.edu.pl</w:t>
              </w:r>
            </w:hyperlink>
          </w:p>
          <w:p w14:paraId="3AF76D03" w14:textId="77777777" w:rsidR="00F77C40" w:rsidRPr="00F77C40" w:rsidRDefault="00F77C40" w:rsidP="002823D3">
            <w:pPr>
              <w:rPr>
                <w:rFonts w:ascii="Calibri" w:hAnsi="Calibri" w:cs="Calibri"/>
                <w:sz w:val="20"/>
                <w:szCs w:val="20"/>
                <w:lang w:val="pl-PL"/>
              </w:rPr>
            </w:pPr>
          </w:p>
          <w:p w14:paraId="04023BA4" w14:textId="77777777" w:rsidR="00002DE8" w:rsidRPr="00F77C40" w:rsidRDefault="00002DE8" w:rsidP="005F018A">
            <w:pPr>
              <w:rPr>
                <w:rFonts w:ascii="Calibri" w:hAnsi="Calibri" w:cs="Calibri"/>
                <w:sz w:val="20"/>
                <w:szCs w:val="20"/>
                <w:lang w:val="pl-PL"/>
              </w:rPr>
            </w:pPr>
          </w:p>
        </w:tc>
      </w:tr>
      <w:tr w:rsidR="00002DE8" w:rsidRPr="00F77C40" w14:paraId="41742A24" w14:textId="77777777" w:rsidTr="00F77C40">
        <w:trPr>
          <w:trHeight w:hRule="exact" w:val="1012"/>
        </w:trPr>
        <w:tc>
          <w:tcPr>
            <w:tcW w:w="1418" w:type="dxa"/>
            <w:shd w:val="pct20" w:color="auto" w:fill="FFFFFF"/>
          </w:tcPr>
          <w:p w14:paraId="4EFA79B3" w14:textId="772C2A66" w:rsidR="003F7795" w:rsidRPr="00F77C40" w:rsidRDefault="00A433EC" w:rsidP="005F018A">
            <w:pPr>
              <w:rPr>
                <w:rFonts w:ascii="Calibri" w:hAnsi="Calibri" w:cs="Calibri"/>
                <w:sz w:val="20"/>
                <w:szCs w:val="20"/>
                <w:lang w:val="pl-PL"/>
              </w:rPr>
            </w:pPr>
            <w:r w:rsidRPr="00F77C40">
              <w:rPr>
                <w:rFonts w:ascii="Calibri" w:hAnsi="Calibri" w:cs="Calibri"/>
                <w:sz w:val="20"/>
                <w:szCs w:val="20"/>
                <w:lang w:val="pl-PL"/>
              </w:rPr>
              <w:t>XX</w:t>
            </w:r>
            <w:r w:rsidR="00DD5DB7" w:rsidRPr="00F77C40">
              <w:rPr>
                <w:rFonts w:ascii="Calibri" w:hAnsi="Calibri" w:cs="Calibri"/>
                <w:sz w:val="20"/>
                <w:szCs w:val="20"/>
                <w:lang w:val="pl-PL"/>
              </w:rPr>
              <w:t>I</w:t>
            </w:r>
            <w:r w:rsidRPr="00F77C40">
              <w:rPr>
                <w:rFonts w:ascii="Calibri" w:hAnsi="Calibri" w:cs="Calibri"/>
                <w:sz w:val="20"/>
                <w:szCs w:val="20"/>
                <w:lang w:val="pl-PL"/>
              </w:rPr>
              <w:t xml:space="preserve"> S</w:t>
            </w:r>
            <w:r w:rsidR="00FA1B54" w:rsidRPr="00F77C40">
              <w:rPr>
                <w:rFonts w:ascii="Calibri" w:hAnsi="Calibri" w:cs="Calibri"/>
                <w:sz w:val="20"/>
                <w:szCs w:val="20"/>
                <w:lang w:val="pl-PL"/>
              </w:rPr>
              <w:t xml:space="preserve">ympozjum </w:t>
            </w:r>
            <w:r w:rsidR="001A5CFF" w:rsidRPr="00F77C40">
              <w:rPr>
                <w:rFonts w:ascii="Calibri" w:hAnsi="Calibri" w:cs="Calibri"/>
                <w:sz w:val="20"/>
                <w:szCs w:val="20"/>
                <w:lang w:val="pl-PL"/>
              </w:rPr>
              <w:t>Interdyscyplinarne</w:t>
            </w:r>
            <w:r w:rsidR="005C560A" w:rsidRPr="00F77C40">
              <w:rPr>
                <w:rFonts w:ascii="Calibri" w:hAnsi="Calibri" w:cs="Calibri"/>
                <w:sz w:val="20"/>
                <w:szCs w:val="20"/>
                <w:lang w:val="pl-PL"/>
              </w:rPr>
              <w:t xml:space="preserve"> </w:t>
            </w:r>
          </w:p>
          <w:p w14:paraId="7A1BA430" w14:textId="15A2F483" w:rsidR="00FA1B54" w:rsidRPr="00F77C40" w:rsidRDefault="00DD5DB7" w:rsidP="005F018A">
            <w:pPr>
              <w:rPr>
                <w:rFonts w:ascii="Calibri" w:hAnsi="Calibri" w:cs="Calibri"/>
                <w:sz w:val="20"/>
                <w:szCs w:val="20"/>
                <w:lang w:val="pl-PL"/>
              </w:rPr>
            </w:pPr>
            <w:r w:rsidRPr="00F77C40">
              <w:rPr>
                <w:rFonts w:ascii="Calibri" w:hAnsi="Calibri" w:cs="Calibri"/>
                <w:sz w:val="20"/>
                <w:szCs w:val="20"/>
                <w:lang w:val="pl-PL"/>
              </w:rPr>
              <w:t>6</w:t>
            </w:r>
            <w:r w:rsidR="00904769" w:rsidRPr="00F77C40">
              <w:rPr>
                <w:rFonts w:ascii="Calibri" w:hAnsi="Calibri" w:cs="Calibri"/>
                <w:sz w:val="20"/>
                <w:szCs w:val="20"/>
                <w:lang w:val="pl-PL"/>
              </w:rPr>
              <w:t xml:space="preserve">  grud</w:t>
            </w:r>
            <w:r w:rsidR="00C000B8" w:rsidRPr="00F77C40">
              <w:rPr>
                <w:rFonts w:ascii="Calibri" w:hAnsi="Calibri" w:cs="Calibri"/>
                <w:sz w:val="20"/>
                <w:szCs w:val="20"/>
                <w:lang w:val="pl-PL"/>
              </w:rPr>
              <w:t>nia</w:t>
            </w:r>
            <w:r w:rsidR="00904769" w:rsidRPr="00F77C40">
              <w:rPr>
                <w:rFonts w:ascii="Calibri" w:hAnsi="Calibri" w:cs="Calibri"/>
                <w:sz w:val="20"/>
                <w:szCs w:val="20"/>
                <w:lang w:val="pl-PL"/>
              </w:rPr>
              <w:t xml:space="preserve"> 20</w:t>
            </w:r>
            <w:r w:rsidR="00632D77" w:rsidRPr="00F77C40">
              <w:rPr>
                <w:rFonts w:ascii="Calibri" w:hAnsi="Calibri" w:cs="Calibri"/>
                <w:sz w:val="20"/>
                <w:szCs w:val="20"/>
                <w:lang w:val="pl-PL"/>
              </w:rPr>
              <w:t>2</w:t>
            </w:r>
            <w:r w:rsidRPr="00F77C40">
              <w:rPr>
                <w:rFonts w:ascii="Calibri" w:hAnsi="Calibri" w:cs="Calibri"/>
                <w:sz w:val="20"/>
                <w:szCs w:val="20"/>
                <w:lang w:val="pl-PL"/>
              </w:rPr>
              <w:t>4</w:t>
            </w:r>
          </w:p>
          <w:p w14:paraId="1176AF50" w14:textId="77777777" w:rsidR="00FA1B54" w:rsidRPr="00F77C40" w:rsidRDefault="00FA1B54" w:rsidP="005F018A">
            <w:pPr>
              <w:tabs>
                <w:tab w:val="left" w:pos="1365"/>
              </w:tabs>
              <w:rPr>
                <w:rFonts w:ascii="Calibri" w:hAnsi="Calibri" w:cs="Calibri"/>
                <w:sz w:val="20"/>
                <w:szCs w:val="20"/>
                <w:lang w:val="pl-PL"/>
              </w:rPr>
            </w:pPr>
            <w:r w:rsidRPr="00F77C40">
              <w:rPr>
                <w:rFonts w:ascii="Calibri" w:hAnsi="Calibri" w:cs="Calibri"/>
                <w:sz w:val="20"/>
                <w:szCs w:val="20"/>
                <w:lang w:val="pl-PL"/>
              </w:rPr>
              <w:t>doniesienie ustne</w:t>
            </w:r>
          </w:p>
        </w:tc>
        <w:tc>
          <w:tcPr>
            <w:tcW w:w="3289" w:type="dxa"/>
          </w:tcPr>
          <w:p w14:paraId="5405C6C1" w14:textId="77777777" w:rsidR="00002DE8" w:rsidRPr="00F77C40" w:rsidRDefault="00002DE8" w:rsidP="0021491E">
            <w:pPr>
              <w:jc w:val="center"/>
              <w:rPr>
                <w:rFonts w:ascii="Calibri" w:hAnsi="Calibri" w:cs="Calibri"/>
                <w:sz w:val="20"/>
                <w:szCs w:val="20"/>
                <w:lang w:val="pl-PL"/>
              </w:rPr>
            </w:pPr>
          </w:p>
          <w:p w14:paraId="11305CDE" w14:textId="0AE83820" w:rsidR="0021491E" w:rsidRPr="00F77C40" w:rsidRDefault="0021491E" w:rsidP="0021491E">
            <w:pPr>
              <w:jc w:val="center"/>
              <w:rPr>
                <w:rFonts w:ascii="Calibri" w:hAnsi="Calibri" w:cs="Calibri"/>
                <w:sz w:val="20"/>
                <w:szCs w:val="20"/>
                <w:lang w:val="pl-PL"/>
              </w:rPr>
            </w:pPr>
            <w:r w:rsidRPr="00F77C40">
              <w:rPr>
                <w:rFonts w:ascii="Calibri" w:hAnsi="Calibri" w:cs="Calibri"/>
                <w:sz w:val="20"/>
                <w:szCs w:val="20"/>
                <w:lang w:val="pl-PL"/>
              </w:rPr>
              <w:t>X</w:t>
            </w:r>
          </w:p>
        </w:tc>
        <w:tc>
          <w:tcPr>
            <w:tcW w:w="2551" w:type="dxa"/>
            <w:shd w:val="clear" w:color="auto" w:fill="C0C0C0"/>
          </w:tcPr>
          <w:p w14:paraId="07676B19" w14:textId="4BEB685C" w:rsidR="003F7795" w:rsidRPr="00F77C40" w:rsidRDefault="00A433EC" w:rsidP="005F018A">
            <w:pPr>
              <w:pStyle w:val="Nagwek2"/>
              <w:jc w:val="left"/>
              <w:rPr>
                <w:rFonts w:ascii="Calibri" w:hAnsi="Calibri" w:cs="Calibri"/>
                <w:b w:val="0"/>
                <w:bCs w:val="0"/>
                <w:sz w:val="20"/>
                <w:szCs w:val="20"/>
                <w:highlight w:val="lightGray"/>
              </w:rPr>
            </w:pPr>
            <w:r w:rsidRPr="00F77C40">
              <w:rPr>
                <w:rFonts w:ascii="Calibri" w:hAnsi="Calibri" w:cs="Calibri"/>
                <w:b w:val="0"/>
                <w:bCs w:val="0"/>
                <w:sz w:val="20"/>
                <w:szCs w:val="20"/>
                <w:highlight w:val="lightGray"/>
              </w:rPr>
              <w:t>X</w:t>
            </w:r>
            <w:r w:rsidR="00DD5DB7" w:rsidRPr="00F77C40">
              <w:rPr>
                <w:rFonts w:ascii="Calibri" w:hAnsi="Calibri" w:cs="Calibri"/>
                <w:b w:val="0"/>
                <w:bCs w:val="0"/>
                <w:sz w:val="20"/>
                <w:szCs w:val="20"/>
                <w:highlight w:val="lightGray"/>
              </w:rPr>
              <w:t>I</w:t>
            </w:r>
            <w:r w:rsidR="00FA1B54" w:rsidRPr="00F77C40">
              <w:rPr>
                <w:rFonts w:ascii="Calibri" w:hAnsi="Calibri" w:cs="Calibri"/>
                <w:b w:val="0"/>
                <w:bCs w:val="0"/>
                <w:sz w:val="20"/>
                <w:szCs w:val="20"/>
                <w:highlight w:val="lightGray"/>
              </w:rPr>
              <w:t xml:space="preserve"> </w:t>
            </w:r>
            <w:r w:rsidR="000F2988" w:rsidRPr="00F77C40">
              <w:rPr>
                <w:rFonts w:ascii="Calibri" w:hAnsi="Calibri" w:cs="Calibri"/>
                <w:b w:val="0"/>
                <w:bCs w:val="0"/>
                <w:sz w:val="20"/>
                <w:szCs w:val="20"/>
                <w:highlight w:val="lightGray"/>
              </w:rPr>
              <w:t>Konferencja</w:t>
            </w:r>
            <w:r w:rsidR="00FA1B54" w:rsidRPr="00F77C40">
              <w:rPr>
                <w:rFonts w:ascii="Calibri" w:hAnsi="Calibri" w:cs="Calibri"/>
                <w:b w:val="0"/>
                <w:bCs w:val="0"/>
                <w:sz w:val="20"/>
                <w:szCs w:val="20"/>
                <w:highlight w:val="lightGray"/>
              </w:rPr>
              <w:t xml:space="preserve"> Naukowo-Szkoleniowe</w:t>
            </w:r>
            <w:r w:rsidR="003F7795" w:rsidRPr="00F77C40">
              <w:rPr>
                <w:rFonts w:ascii="Calibri" w:hAnsi="Calibri" w:cs="Calibri"/>
                <w:b w:val="0"/>
                <w:bCs w:val="0"/>
                <w:sz w:val="20"/>
                <w:szCs w:val="20"/>
                <w:highlight w:val="lightGray"/>
              </w:rPr>
              <w:t xml:space="preserve"> </w:t>
            </w:r>
          </w:p>
          <w:p w14:paraId="25844545" w14:textId="7E755ADF" w:rsidR="00002DE8" w:rsidRPr="00F77C40" w:rsidRDefault="00DD5DB7" w:rsidP="005F018A">
            <w:pPr>
              <w:pStyle w:val="Nagwek2"/>
              <w:jc w:val="left"/>
              <w:rPr>
                <w:rFonts w:ascii="Calibri" w:hAnsi="Calibri" w:cs="Calibri"/>
                <w:b w:val="0"/>
                <w:bCs w:val="0"/>
                <w:sz w:val="20"/>
                <w:szCs w:val="20"/>
                <w:highlight w:val="lightGray"/>
              </w:rPr>
            </w:pPr>
            <w:r w:rsidRPr="00F77C40">
              <w:rPr>
                <w:rFonts w:ascii="Calibri" w:hAnsi="Calibri" w:cs="Calibri"/>
                <w:b w:val="0"/>
                <w:bCs w:val="0"/>
                <w:sz w:val="20"/>
                <w:szCs w:val="20"/>
                <w:highlight w:val="lightGray"/>
              </w:rPr>
              <w:t>7</w:t>
            </w:r>
            <w:r w:rsidR="003F7795" w:rsidRPr="00F77C40">
              <w:rPr>
                <w:rFonts w:ascii="Calibri" w:hAnsi="Calibri" w:cs="Calibri"/>
                <w:b w:val="0"/>
                <w:bCs w:val="0"/>
                <w:sz w:val="20"/>
                <w:szCs w:val="20"/>
                <w:highlight w:val="lightGray"/>
              </w:rPr>
              <w:t xml:space="preserve"> grud</w:t>
            </w:r>
            <w:r w:rsidR="00C000B8" w:rsidRPr="00F77C40">
              <w:rPr>
                <w:rFonts w:ascii="Calibri" w:hAnsi="Calibri" w:cs="Calibri"/>
                <w:b w:val="0"/>
                <w:bCs w:val="0"/>
                <w:sz w:val="20"/>
                <w:szCs w:val="20"/>
                <w:highlight w:val="lightGray"/>
              </w:rPr>
              <w:t>nia</w:t>
            </w:r>
            <w:r w:rsidR="003F7795" w:rsidRPr="00F77C40">
              <w:rPr>
                <w:rFonts w:ascii="Calibri" w:hAnsi="Calibri" w:cs="Calibri"/>
                <w:b w:val="0"/>
                <w:bCs w:val="0"/>
                <w:sz w:val="20"/>
                <w:szCs w:val="20"/>
                <w:highlight w:val="lightGray"/>
              </w:rPr>
              <w:t xml:space="preserve"> 20</w:t>
            </w:r>
            <w:r w:rsidR="00632D77" w:rsidRPr="00F77C40">
              <w:rPr>
                <w:rFonts w:ascii="Calibri" w:hAnsi="Calibri" w:cs="Calibri"/>
                <w:b w:val="0"/>
                <w:bCs w:val="0"/>
                <w:sz w:val="20"/>
                <w:szCs w:val="20"/>
                <w:highlight w:val="lightGray"/>
              </w:rPr>
              <w:t>2</w:t>
            </w:r>
            <w:r w:rsidRPr="00F77C40">
              <w:rPr>
                <w:rFonts w:ascii="Calibri" w:hAnsi="Calibri" w:cs="Calibri"/>
                <w:b w:val="0"/>
                <w:bCs w:val="0"/>
                <w:sz w:val="20"/>
                <w:szCs w:val="20"/>
                <w:highlight w:val="lightGray"/>
              </w:rPr>
              <w:t>4</w:t>
            </w:r>
          </w:p>
          <w:p w14:paraId="5E6241D4" w14:textId="77777777" w:rsidR="00FA1B54" w:rsidRPr="00F77C40" w:rsidRDefault="00FA1B54" w:rsidP="005F018A">
            <w:pPr>
              <w:rPr>
                <w:rFonts w:ascii="Calibri" w:hAnsi="Calibri" w:cs="Calibri"/>
                <w:sz w:val="20"/>
                <w:szCs w:val="20"/>
                <w:highlight w:val="lightGray"/>
                <w:lang w:val="pl-PL"/>
              </w:rPr>
            </w:pPr>
            <w:r w:rsidRPr="00F77C40">
              <w:rPr>
                <w:rFonts w:ascii="Calibri" w:hAnsi="Calibri" w:cs="Calibri"/>
                <w:sz w:val="20"/>
                <w:szCs w:val="20"/>
                <w:highlight w:val="lightGray"/>
                <w:lang w:val="pl-PL"/>
              </w:rPr>
              <w:t>doniesienie ustne</w:t>
            </w:r>
          </w:p>
        </w:tc>
        <w:tc>
          <w:tcPr>
            <w:tcW w:w="2381" w:type="dxa"/>
          </w:tcPr>
          <w:p w14:paraId="7A845314" w14:textId="77777777" w:rsidR="00002DE8" w:rsidRPr="00F77C40" w:rsidRDefault="00002DE8" w:rsidP="005F018A">
            <w:pPr>
              <w:rPr>
                <w:rFonts w:ascii="Calibri" w:hAnsi="Calibri" w:cs="Calibri"/>
                <w:sz w:val="20"/>
                <w:szCs w:val="20"/>
                <w:lang w:val="pl-PL"/>
              </w:rPr>
            </w:pPr>
          </w:p>
        </w:tc>
      </w:tr>
      <w:tr w:rsidR="00002DE8" w:rsidRPr="00F77C40" w14:paraId="520315E1" w14:textId="77777777" w:rsidTr="00F77C40">
        <w:trPr>
          <w:trHeight w:hRule="exact" w:val="9217"/>
        </w:trPr>
        <w:tc>
          <w:tcPr>
            <w:tcW w:w="1418" w:type="dxa"/>
            <w:shd w:val="pct20" w:color="auto" w:fill="FFFFFF"/>
          </w:tcPr>
          <w:p w14:paraId="208174EE" w14:textId="77777777" w:rsidR="00002DE8" w:rsidRPr="00F77C40" w:rsidRDefault="00002DE8" w:rsidP="005F018A">
            <w:pPr>
              <w:rPr>
                <w:rFonts w:ascii="Calibri" w:hAnsi="Calibri" w:cs="Calibri"/>
                <w:sz w:val="20"/>
                <w:szCs w:val="20"/>
                <w:lang w:val="pl-PL"/>
              </w:rPr>
            </w:pPr>
            <w:r w:rsidRPr="00F77C40">
              <w:rPr>
                <w:rFonts w:ascii="Calibri" w:hAnsi="Calibri" w:cs="Calibri"/>
                <w:sz w:val="20"/>
                <w:szCs w:val="20"/>
                <w:lang w:val="pl-PL"/>
              </w:rPr>
              <w:t>Streszczenie</w:t>
            </w:r>
            <w:r w:rsidR="00B77477" w:rsidRPr="00F77C40">
              <w:rPr>
                <w:rFonts w:ascii="Calibri" w:hAnsi="Calibri" w:cs="Calibri"/>
                <w:sz w:val="20"/>
                <w:szCs w:val="20"/>
                <w:lang w:val="pl-PL"/>
              </w:rPr>
              <w:t>:</w:t>
            </w:r>
            <w:r w:rsidRPr="00F77C40">
              <w:rPr>
                <w:rFonts w:ascii="Calibri" w:hAnsi="Calibri" w:cs="Calibri"/>
                <w:sz w:val="20"/>
                <w:szCs w:val="20"/>
                <w:lang w:val="pl-PL"/>
              </w:rPr>
              <w:br/>
            </w:r>
          </w:p>
        </w:tc>
        <w:tc>
          <w:tcPr>
            <w:tcW w:w="8221" w:type="dxa"/>
            <w:gridSpan w:val="3"/>
          </w:tcPr>
          <w:p w14:paraId="0019BE65" w14:textId="77777777" w:rsidR="0021491E" w:rsidRPr="00F77C40" w:rsidRDefault="0021491E" w:rsidP="0021491E">
            <w:pPr>
              <w:rPr>
                <w:rFonts w:ascii="Calibri" w:hAnsi="Calibri" w:cs="Calibri"/>
                <w:sz w:val="20"/>
                <w:szCs w:val="20"/>
                <w:lang w:val="pl-PL"/>
              </w:rPr>
            </w:pPr>
          </w:p>
          <w:p w14:paraId="55E88717" w14:textId="77777777" w:rsidR="0021491E" w:rsidRPr="00F77C40" w:rsidRDefault="0021491E" w:rsidP="0021491E">
            <w:pPr>
              <w:rPr>
                <w:rFonts w:ascii="Calibri" w:hAnsi="Calibri" w:cs="Calibri"/>
                <w:sz w:val="20"/>
                <w:szCs w:val="20"/>
                <w:lang w:val="pl-PL"/>
              </w:rPr>
            </w:pPr>
            <w:r w:rsidRPr="00F77C40">
              <w:rPr>
                <w:rFonts w:ascii="Calibri" w:hAnsi="Calibri" w:cs="Calibri"/>
                <w:sz w:val="20"/>
                <w:szCs w:val="20"/>
                <w:lang w:val="pl-PL"/>
              </w:rPr>
              <w:t xml:space="preserve">      Technologie trójwymiarowe, w tym wizualizacje i druk 3D oraz mieszana rzeczywistość, stanowią kluczowe innowacje we współczesnej medycynie. Oferują szerokie możliwości w zakresie diagnostyki, planowania przedoperacyjnego i edukacji medycznej. Modele 3D, powstają na bazie wizualizacji trójwymiarowych, które z kolei tworzone są na podstawie danych z tomografii komputerowej i rezonansu magnetycznego. Pozwalają na precyzyjne odwzorowanie struktur anatomicznych pacjenta, oraz struktury </w:t>
            </w:r>
          </w:p>
          <w:p w14:paraId="37A80742" w14:textId="3A11BF66" w:rsidR="0021491E" w:rsidRPr="00F77C40" w:rsidRDefault="0021491E" w:rsidP="0021491E">
            <w:pPr>
              <w:rPr>
                <w:rFonts w:ascii="Calibri" w:hAnsi="Calibri" w:cs="Calibri"/>
                <w:sz w:val="20"/>
                <w:szCs w:val="20"/>
                <w:lang w:val="pl-PL"/>
              </w:rPr>
            </w:pPr>
            <w:r w:rsidRPr="00F77C40">
              <w:rPr>
                <w:rFonts w:ascii="Calibri" w:hAnsi="Calibri" w:cs="Calibri"/>
                <w:sz w:val="20"/>
                <w:szCs w:val="20"/>
                <w:lang w:val="pl-PL"/>
              </w:rPr>
              <w:t xml:space="preserve">patologiczne takie malformacje naczyniowe, czy guzy wymienionych struktur. </w:t>
            </w:r>
          </w:p>
          <w:p w14:paraId="442B43B8" w14:textId="549371CB" w:rsidR="0021491E" w:rsidRPr="00F77C40" w:rsidRDefault="0021491E" w:rsidP="0021491E">
            <w:pPr>
              <w:rPr>
                <w:rFonts w:ascii="Calibri" w:hAnsi="Calibri" w:cs="Calibri"/>
                <w:sz w:val="20"/>
                <w:szCs w:val="20"/>
                <w:lang w:val="pl-PL"/>
              </w:rPr>
            </w:pPr>
            <w:r w:rsidRPr="00F77C40">
              <w:rPr>
                <w:rFonts w:ascii="Calibri" w:hAnsi="Calibri" w:cs="Calibri"/>
                <w:sz w:val="20"/>
                <w:szCs w:val="20"/>
                <w:lang w:val="pl-PL"/>
              </w:rPr>
              <w:t xml:space="preserve">      W pracy przedstawiono wybrane zastosowania technologii trójwymiarowych w chirurgii dziecięcej. </w:t>
            </w:r>
          </w:p>
          <w:p w14:paraId="4AD1D464" w14:textId="30D4CC64" w:rsidR="0021491E" w:rsidRPr="00F77C40" w:rsidRDefault="0021491E" w:rsidP="0021491E">
            <w:pPr>
              <w:rPr>
                <w:rFonts w:ascii="Calibri" w:hAnsi="Calibri" w:cs="Calibri"/>
                <w:sz w:val="20"/>
                <w:szCs w:val="20"/>
                <w:lang w:val="pl-PL"/>
              </w:rPr>
            </w:pPr>
            <w:r w:rsidRPr="00F77C40">
              <w:rPr>
                <w:rFonts w:ascii="Calibri" w:hAnsi="Calibri" w:cs="Calibri"/>
                <w:sz w:val="20"/>
                <w:szCs w:val="20"/>
                <w:lang w:val="pl-PL"/>
              </w:rPr>
              <w:t xml:space="preserve">      Planowanie przedoperacyjne z wykorzystaniem technologii ułatwia określenie dostępu operacyjnego względem często niewyczuwalnej zmiany, co przyczynia się do ograniczenia rozległości zabiegu i skrócenia czasu operacji, wpływając tym samym na poprawę bezpieczeństwa pacjenta i ograniczenie ryzyka powikłań.</w:t>
            </w:r>
          </w:p>
          <w:p w14:paraId="6ECDE567" w14:textId="228571DC" w:rsidR="0021491E" w:rsidRPr="00F77C40" w:rsidRDefault="0021491E" w:rsidP="0021491E">
            <w:pPr>
              <w:rPr>
                <w:rFonts w:ascii="Calibri" w:hAnsi="Calibri" w:cs="Calibri"/>
                <w:sz w:val="20"/>
                <w:szCs w:val="20"/>
                <w:lang w:val="pl-PL"/>
              </w:rPr>
            </w:pPr>
            <w:r w:rsidRPr="00F77C40">
              <w:rPr>
                <w:rFonts w:ascii="Calibri" w:hAnsi="Calibri" w:cs="Calibri"/>
                <w:sz w:val="20"/>
                <w:szCs w:val="20"/>
                <w:lang w:val="pl-PL"/>
              </w:rPr>
              <w:t xml:space="preserve">      Wizualizacje 3D są pomocne w planowaniu  biopsji guzów narządu miąższowych. Modele pomagają w podjęciu decyzji o możliwości resekcji zmiany oraz wyborze sposobu operacji, szczególnie w zabiegach malformacji naczyniowych i precyzyjnym określaniu przebiegu unaczynienia zmiany. W naszym zespole Chirurgii Ręki modele tkanek kończyny górnej służą do oceny obszarów objętych rozległymi urazami, pomiarów i przygotowania przed zabiegami osteotomii korekcyjnych lub resekcji objętych stanem chorobowym fragmentów kośćca i tkanek miękkich. We współpracy z  onkologami dziecięcymi w naszym ośrodku modele 3D służą do określania odpowiedzi pacjentów onkologicznych na chemioterapię poprzez dokładne obliczanie zmian objętości masy guza, a następnie do przygotowania zespołu chirurgicznego przed zabiegiem operacyjnym.</w:t>
            </w:r>
          </w:p>
          <w:p w14:paraId="6BE6A1E4" w14:textId="208658DC" w:rsidR="0021491E" w:rsidRPr="00F77C40" w:rsidRDefault="0021491E" w:rsidP="0021491E">
            <w:pPr>
              <w:rPr>
                <w:rFonts w:ascii="Calibri" w:hAnsi="Calibri" w:cs="Calibri"/>
                <w:sz w:val="20"/>
                <w:szCs w:val="20"/>
                <w:lang w:val="pl-PL"/>
              </w:rPr>
            </w:pPr>
            <w:r w:rsidRPr="00F77C40">
              <w:rPr>
                <w:rFonts w:ascii="Calibri" w:hAnsi="Calibri" w:cs="Calibri"/>
                <w:sz w:val="20"/>
                <w:szCs w:val="20"/>
                <w:lang w:val="pl-PL"/>
              </w:rPr>
              <w:t xml:space="preserve">      Mieszana rzeczywistość stanowi dodatkowe narzędzie śródoperacyjne, umożliwiając chirurgom nanoszenie modelu anatomicznego przy pomocy gogli HoloLens na pacjenta w czasie rzeczywistym. Dzięki temu mogą oni wizualizować głębokie struktury anatomiczne, manipulować modelem i uzyskiwać dodatkowe informacje bez przerywania sterylności pola operacyjnego. </w:t>
            </w:r>
          </w:p>
          <w:p w14:paraId="09DDA33D" w14:textId="3675E6C3" w:rsidR="0021491E" w:rsidRPr="00F77C40" w:rsidRDefault="0021491E" w:rsidP="0021491E">
            <w:pPr>
              <w:rPr>
                <w:rFonts w:ascii="Calibri" w:hAnsi="Calibri" w:cs="Calibri"/>
                <w:sz w:val="20"/>
                <w:szCs w:val="20"/>
                <w:lang w:val="pl-PL"/>
              </w:rPr>
            </w:pPr>
            <w:r w:rsidRPr="00F77C40">
              <w:rPr>
                <w:rFonts w:ascii="Calibri" w:hAnsi="Calibri" w:cs="Calibri"/>
                <w:sz w:val="20"/>
                <w:szCs w:val="20"/>
                <w:lang w:val="pl-PL"/>
              </w:rPr>
              <w:t xml:space="preserve">      Zastosowanie technologii 3D ułatwia także komunikację z pacjentem – przedstawienie trójwymiarowego modelu schorzenia pomaga w zrozumieniu jego istoty, zmniejsza stres towarzyszący hospitalizacji oraz pozwala na uzyskanie świadomej zgody na leczenie.</w:t>
            </w:r>
          </w:p>
          <w:p w14:paraId="216F9DBD" w14:textId="219FCAD6" w:rsidR="00957597" w:rsidRPr="00F77C40" w:rsidRDefault="0021491E" w:rsidP="0021491E">
            <w:pPr>
              <w:rPr>
                <w:rFonts w:ascii="Calibri" w:hAnsi="Calibri" w:cs="Calibri"/>
                <w:sz w:val="20"/>
                <w:szCs w:val="20"/>
                <w:lang w:val="pl-PL"/>
              </w:rPr>
            </w:pPr>
            <w:r w:rsidRPr="00F77C40">
              <w:rPr>
                <w:rFonts w:ascii="Calibri" w:hAnsi="Calibri" w:cs="Calibri"/>
                <w:sz w:val="20"/>
                <w:szCs w:val="20"/>
                <w:lang w:val="pl-PL"/>
              </w:rPr>
              <w:t xml:space="preserve">      Dydaktyczna rola modeli 3D i rzeczywistości mieszanej jest nieoceniona, umożliwiając studentom medycyny i młodym lekarzom „namacalne” poznanie struktur anatomicznych i jednostek chorobowych w skali 1:1. Te technologie angażują ich w sposób praktyczny, wspierają efektywne przyswajanie wiedzy i przygotowanie do pracy klinicznej. Innowacyjne rozwiązania trójwymiarowe stają się zatem standardem w medycynie, przynosząc wymierne korzyści zarówno pacjentom, jak i zespołom medycznym oraz studentom.</w:t>
            </w:r>
          </w:p>
        </w:tc>
      </w:tr>
    </w:tbl>
    <w:p w14:paraId="5B6B37BF" w14:textId="77777777" w:rsidR="00002DE8" w:rsidRDefault="00002DE8">
      <w:pPr>
        <w:rPr>
          <w:lang w:val="pl-PL"/>
        </w:rPr>
      </w:pPr>
    </w:p>
    <w:p w14:paraId="58C25552" w14:textId="77777777" w:rsidR="001B165D" w:rsidRDefault="001B165D">
      <w:pPr>
        <w:rPr>
          <w:lang w:val="pl-PL"/>
        </w:rPr>
      </w:pPr>
    </w:p>
    <w:p w14:paraId="325014AA" w14:textId="77777777" w:rsidR="001B165D" w:rsidRDefault="001B165D">
      <w:pPr>
        <w:rPr>
          <w:lang w:val="pl-PL"/>
        </w:rPr>
      </w:pPr>
    </w:p>
    <w:p w14:paraId="3436780E" w14:textId="77777777" w:rsidR="001B165D" w:rsidRDefault="001B165D" w:rsidP="001B165D">
      <w:pPr>
        <w:pStyle w:val="Nagwek1"/>
      </w:pPr>
    </w:p>
    <w:tbl>
      <w:tblPr>
        <w:tblW w:w="9639" w:type="dxa"/>
        <w:tblInd w:w="-459" w:type="dxa"/>
        <w:tblLayout w:type="fixed"/>
        <w:tblLook w:val="0000" w:firstRow="0" w:lastRow="0" w:firstColumn="0" w:lastColumn="0" w:noHBand="0" w:noVBand="0"/>
      </w:tblPr>
      <w:tblGrid>
        <w:gridCol w:w="1417"/>
        <w:gridCol w:w="4396"/>
        <w:gridCol w:w="1700"/>
        <w:gridCol w:w="2126"/>
      </w:tblGrid>
      <w:tr w:rsidR="001B165D" w:rsidRPr="00186028" w14:paraId="5418E8D0" w14:textId="77777777" w:rsidTr="00E50A57">
        <w:trPr>
          <w:trHeight w:hRule="exact" w:val="822"/>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28A89125" w14:textId="77777777" w:rsidR="001B165D" w:rsidRPr="00186028" w:rsidRDefault="001B165D" w:rsidP="00E50A57">
            <w:pPr>
              <w:widowControl w:val="0"/>
              <w:rPr>
                <w:rFonts w:asciiTheme="minorHAnsi" w:hAnsiTheme="minorHAnsi" w:cstheme="minorHAnsi"/>
                <w:sz w:val="20"/>
                <w:szCs w:val="20"/>
              </w:rPr>
            </w:pPr>
            <w:r w:rsidRPr="00186028">
              <w:rPr>
                <w:rFonts w:asciiTheme="minorHAnsi" w:hAnsiTheme="minorHAnsi" w:cstheme="minorHAnsi"/>
                <w:sz w:val="20"/>
                <w:szCs w:val="20"/>
              </w:rPr>
              <w:t>Tytuł:</w:t>
            </w:r>
          </w:p>
          <w:p w14:paraId="65D50D09" w14:textId="77777777" w:rsidR="001B165D" w:rsidRPr="00186028" w:rsidRDefault="001B165D" w:rsidP="00E50A57">
            <w:pPr>
              <w:widowControl w:val="0"/>
              <w:rPr>
                <w:rFonts w:asciiTheme="minorHAnsi" w:hAnsiTheme="minorHAnsi" w:cstheme="minorHAnsi"/>
                <w:sz w:val="20"/>
                <w:szCs w:val="20"/>
              </w:rPr>
            </w:pPr>
          </w:p>
        </w:tc>
        <w:tc>
          <w:tcPr>
            <w:tcW w:w="8222" w:type="dxa"/>
            <w:gridSpan w:val="3"/>
            <w:tcBorders>
              <w:top w:val="single" w:sz="4" w:space="0" w:color="000000"/>
              <w:left w:val="single" w:sz="4" w:space="0" w:color="000000"/>
              <w:bottom w:val="single" w:sz="4" w:space="0" w:color="000000"/>
              <w:right w:val="single" w:sz="4" w:space="0" w:color="000000"/>
            </w:tcBorders>
          </w:tcPr>
          <w:p w14:paraId="3961EEE2" w14:textId="77777777" w:rsidR="001B165D" w:rsidRPr="00186028" w:rsidRDefault="001B165D" w:rsidP="00E50A57">
            <w:pPr>
              <w:widowControl w:val="0"/>
              <w:rPr>
                <w:rFonts w:asciiTheme="minorHAnsi" w:hAnsiTheme="minorHAnsi" w:cstheme="minorHAnsi"/>
                <w:sz w:val="20"/>
                <w:szCs w:val="20"/>
                <w:lang w:val="pl-PL"/>
              </w:rPr>
            </w:pPr>
            <w:bookmarkStart w:id="0" w:name="docs-internal-guid-aaaac2b7-7fff-b755-95"/>
            <w:bookmarkEnd w:id="0"/>
            <w:r w:rsidRPr="00186028">
              <w:rPr>
                <w:rFonts w:asciiTheme="minorHAnsi" w:hAnsiTheme="minorHAnsi" w:cstheme="minorHAnsi"/>
                <w:color w:val="000000"/>
                <w:sz w:val="20"/>
                <w:szCs w:val="20"/>
                <w:lang w:val="pl-PL"/>
              </w:rPr>
              <w:t>Ocena wpływu pourodzeniowego morfologii jelit u dzieci leczonych z powodu wytrzewienia wrodzonego w Klinice Chirurgii IMID w latach 2010 – 2024.</w:t>
            </w:r>
            <w:r w:rsidRPr="00186028">
              <w:rPr>
                <w:rFonts w:asciiTheme="minorHAnsi" w:hAnsiTheme="minorHAnsi" w:cstheme="minorHAnsi"/>
                <w:sz w:val="20"/>
                <w:szCs w:val="20"/>
                <w:lang w:val="pl-PL"/>
              </w:rPr>
              <w:t xml:space="preserve"> </w:t>
            </w:r>
          </w:p>
          <w:p w14:paraId="7D161B0E" w14:textId="77777777" w:rsidR="001B165D" w:rsidRPr="00186028" w:rsidRDefault="001B165D" w:rsidP="00E50A57">
            <w:pPr>
              <w:widowControl w:val="0"/>
              <w:rPr>
                <w:rFonts w:asciiTheme="minorHAnsi" w:hAnsiTheme="minorHAnsi" w:cstheme="minorHAnsi"/>
                <w:sz w:val="20"/>
                <w:szCs w:val="20"/>
                <w:lang w:val="pl-PL"/>
              </w:rPr>
            </w:pPr>
          </w:p>
        </w:tc>
      </w:tr>
      <w:tr w:rsidR="001B165D" w:rsidRPr="00186028" w14:paraId="215E3D1A" w14:textId="77777777" w:rsidTr="00E50A57">
        <w:trPr>
          <w:trHeight w:hRule="exact" w:val="639"/>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5AA84FCC"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 xml:space="preserve">Autorzy: </w:t>
            </w:r>
          </w:p>
        </w:tc>
        <w:tc>
          <w:tcPr>
            <w:tcW w:w="8222" w:type="dxa"/>
            <w:gridSpan w:val="3"/>
            <w:tcBorders>
              <w:top w:val="single" w:sz="4" w:space="0" w:color="000000"/>
              <w:left w:val="single" w:sz="4" w:space="0" w:color="000000"/>
              <w:bottom w:val="single" w:sz="4" w:space="0" w:color="000000"/>
              <w:right w:val="single" w:sz="4" w:space="0" w:color="000000"/>
            </w:tcBorders>
          </w:tcPr>
          <w:p w14:paraId="060A35F5" w14:textId="77777777" w:rsidR="001B165D" w:rsidRPr="00186028" w:rsidRDefault="001B165D" w:rsidP="00E50A57">
            <w:pPr>
              <w:widowControl w:val="0"/>
              <w:rPr>
                <w:rFonts w:asciiTheme="minorHAnsi" w:hAnsiTheme="minorHAnsi" w:cstheme="minorHAnsi"/>
                <w:sz w:val="20"/>
                <w:szCs w:val="20"/>
                <w:lang w:val="pl-PL"/>
              </w:rPr>
            </w:pPr>
            <w:bookmarkStart w:id="1" w:name="docs-internal-guid-ebe577be-7fff-4806-29"/>
            <w:bookmarkEnd w:id="1"/>
            <w:r w:rsidRPr="00186028">
              <w:rPr>
                <w:rFonts w:asciiTheme="minorHAnsi" w:hAnsiTheme="minorHAnsi" w:cstheme="minorHAnsi"/>
                <w:color w:val="000000"/>
                <w:sz w:val="20"/>
                <w:szCs w:val="20"/>
                <w:lang w:val="pl-PL"/>
              </w:rPr>
              <w:t>Jakub Jasiński, Dariusz Mydlak, Diyaa Alhashlamoun, Ewa Sawicka</w:t>
            </w:r>
            <w:r w:rsidRPr="00186028">
              <w:rPr>
                <w:rFonts w:asciiTheme="minorHAnsi" w:hAnsiTheme="minorHAnsi" w:cstheme="minorHAnsi"/>
                <w:sz w:val="20"/>
                <w:szCs w:val="20"/>
                <w:lang w:val="pl-PL"/>
              </w:rPr>
              <w:t xml:space="preserve"> </w:t>
            </w:r>
          </w:p>
          <w:p w14:paraId="50C49A3F" w14:textId="77777777" w:rsidR="001B165D" w:rsidRPr="00186028" w:rsidRDefault="001B165D" w:rsidP="00E50A57">
            <w:pPr>
              <w:widowControl w:val="0"/>
              <w:rPr>
                <w:rFonts w:asciiTheme="minorHAnsi" w:hAnsiTheme="minorHAnsi" w:cstheme="minorHAnsi"/>
                <w:sz w:val="20"/>
                <w:szCs w:val="20"/>
                <w:lang w:val="pl-PL"/>
              </w:rPr>
            </w:pPr>
          </w:p>
        </w:tc>
      </w:tr>
      <w:tr w:rsidR="001B165D" w:rsidRPr="00186028" w14:paraId="609E13BB" w14:textId="77777777" w:rsidTr="00E50A57">
        <w:trPr>
          <w:trHeight w:hRule="exact" w:val="706"/>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375ADC99"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Ośrodek:</w:t>
            </w:r>
          </w:p>
          <w:p w14:paraId="33CD9E5E"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E-mail:</w:t>
            </w:r>
          </w:p>
        </w:tc>
        <w:tc>
          <w:tcPr>
            <w:tcW w:w="8222" w:type="dxa"/>
            <w:gridSpan w:val="3"/>
            <w:tcBorders>
              <w:top w:val="single" w:sz="4" w:space="0" w:color="000000"/>
              <w:left w:val="single" w:sz="4" w:space="0" w:color="000000"/>
              <w:bottom w:val="single" w:sz="4" w:space="0" w:color="000000"/>
              <w:right w:val="single" w:sz="4" w:space="0" w:color="000000"/>
            </w:tcBorders>
          </w:tcPr>
          <w:p w14:paraId="72414C3E"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Klinika Chirurgii Dzieci i Młodzieży, Instytut Matki i Dziecka w Warszawie</w:t>
            </w:r>
          </w:p>
          <w:p w14:paraId="4E16ED65"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jakub.jasinski@imid.med.pl</w:t>
            </w:r>
          </w:p>
        </w:tc>
      </w:tr>
      <w:tr w:rsidR="001B165D" w:rsidRPr="00186028" w14:paraId="36546CAC" w14:textId="77777777" w:rsidTr="00E50A57">
        <w:trPr>
          <w:trHeight w:hRule="exact" w:val="1012"/>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2B67D72F"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 xml:space="preserve">XXI Sympozjum Interdyscyplinarne </w:t>
            </w:r>
          </w:p>
          <w:p w14:paraId="49B6EF47"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6  grudnia 2024</w:t>
            </w:r>
          </w:p>
          <w:p w14:paraId="0A066265" w14:textId="77777777" w:rsidR="001B165D" w:rsidRPr="00186028" w:rsidRDefault="001B165D" w:rsidP="00E50A57">
            <w:pPr>
              <w:widowControl w:val="0"/>
              <w:tabs>
                <w:tab w:val="left" w:pos="1365"/>
              </w:tabs>
              <w:rPr>
                <w:rFonts w:asciiTheme="minorHAnsi" w:hAnsiTheme="minorHAnsi" w:cstheme="minorHAnsi"/>
                <w:sz w:val="20"/>
                <w:szCs w:val="20"/>
                <w:lang w:val="pl-PL"/>
              </w:rPr>
            </w:pPr>
            <w:r w:rsidRPr="00186028">
              <w:rPr>
                <w:rFonts w:asciiTheme="minorHAnsi" w:hAnsiTheme="minorHAnsi" w:cstheme="minorHAnsi"/>
                <w:sz w:val="20"/>
                <w:szCs w:val="20"/>
                <w:lang w:val="pl-PL"/>
              </w:rPr>
              <w:t>doniesienie ustne</w:t>
            </w:r>
          </w:p>
        </w:tc>
        <w:tc>
          <w:tcPr>
            <w:tcW w:w="4396" w:type="dxa"/>
            <w:tcBorders>
              <w:top w:val="single" w:sz="4" w:space="0" w:color="000000"/>
              <w:left w:val="single" w:sz="4" w:space="0" w:color="000000"/>
              <w:bottom w:val="single" w:sz="4" w:space="0" w:color="000000"/>
              <w:right w:val="single" w:sz="4" w:space="0" w:color="000000"/>
            </w:tcBorders>
          </w:tcPr>
          <w:p w14:paraId="31F969E0"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X</w:t>
            </w: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485F7E28" w14:textId="77777777" w:rsidR="001B165D" w:rsidRPr="00186028" w:rsidRDefault="001B165D" w:rsidP="00E50A57">
            <w:pPr>
              <w:pStyle w:val="Nagwek2"/>
              <w:widowControl w:val="0"/>
              <w:jc w:val="left"/>
              <w:rPr>
                <w:rFonts w:asciiTheme="minorHAnsi" w:hAnsiTheme="minorHAnsi" w:cstheme="minorHAnsi"/>
                <w:b w:val="0"/>
                <w:bCs w:val="0"/>
                <w:sz w:val="20"/>
                <w:szCs w:val="20"/>
                <w:highlight w:val="lightGray"/>
              </w:rPr>
            </w:pPr>
            <w:r w:rsidRPr="00186028">
              <w:rPr>
                <w:rFonts w:asciiTheme="minorHAnsi" w:hAnsiTheme="minorHAnsi" w:cstheme="minorHAnsi"/>
                <w:b w:val="0"/>
                <w:bCs w:val="0"/>
                <w:sz w:val="20"/>
                <w:szCs w:val="20"/>
                <w:highlight w:val="lightGray"/>
              </w:rPr>
              <w:t xml:space="preserve">XI Konferencja Naukowo-Szkoleniowe </w:t>
            </w:r>
          </w:p>
          <w:p w14:paraId="12779ED3" w14:textId="77777777" w:rsidR="001B165D" w:rsidRPr="00186028" w:rsidRDefault="001B165D" w:rsidP="00E50A57">
            <w:pPr>
              <w:pStyle w:val="Nagwek2"/>
              <w:widowControl w:val="0"/>
              <w:jc w:val="left"/>
              <w:rPr>
                <w:rFonts w:asciiTheme="minorHAnsi" w:hAnsiTheme="minorHAnsi" w:cstheme="minorHAnsi"/>
                <w:b w:val="0"/>
                <w:bCs w:val="0"/>
                <w:sz w:val="20"/>
                <w:szCs w:val="20"/>
                <w:highlight w:val="lightGray"/>
              </w:rPr>
            </w:pPr>
            <w:r w:rsidRPr="00186028">
              <w:rPr>
                <w:rFonts w:asciiTheme="minorHAnsi" w:hAnsiTheme="minorHAnsi" w:cstheme="minorHAnsi"/>
                <w:b w:val="0"/>
                <w:bCs w:val="0"/>
                <w:sz w:val="20"/>
                <w:szCs w:val="20"/>
                <w:highlight w:val="lightGray"/>
              </w:rPr>
              <w:t>7 grudnia 2024</w:t>
            </w:r>
          </w:p>
          <w:p w14:paraId="1214B369" w14:textId="77777777" w:rsidR="001B165D" w:rsidRPr="00186028" w:rsidRDefault="001B165D" w:rsidP="00E50A57">
            <w:pPr>
              <w:widowControl w:val="0"/>
              <w:rPr>
                <w:rFonts w:asciiTheme="minorHAnsi" w:hAnsiTheme="minorHAnsi" w:cstheme="minorHAnsi"/>
                <w:sz w:val="20"/>
                <w:szCs w:val="20"/>
                <w:highlight w:val="lightGray"/>
                <w:lang w:val="pl-PL"/>
              </w:rPr>
            </w:pPr>
            <w:r w:rsidRPr="00186028">
              <w:rPr>
                <w:rFonts w:asciiTheme="minorHAnsi" w:hAnsiTheme="minorHAnsi" w:cstheme="minorHAnsi"/>
                <w:sz w:val="20"/>
                <w:szCs w:val="20"/>
                <w:highlight w:val="lightGray"/>
                <w:lang w:val="pl-PL"/>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3F3383CF" w14:textId="77777777" w:rsidR="001B165D" w:rsidRPr="00186028" w:rsidRDefault="001B165D" w:rsidP="00E50A57">
            <w:pPr>
              <w:widowControl w:val="0"/>
              <w:rPr>
                <w:rFonts w:asciiTheme="minorHAnsi" w:hAnsiTheme="minorHAnsi" w:cstheme="minorHAnsi"/>
                <w:sz w:val="20"/>
                <w:szCs w:val="20"/>
                <w:lang w:val="pl-PL"/>
              </w:rPr>
            </w:pPr>
          </w:p>
        </w:tc>
      </w:tr>
      <w:tr w:rsidR="001B165D" w:rsidRPr="00186028" w14:paraId="563C4F0B" w14:textId="77777777" w:rsidTr="00E50A57">
        <w:trPr>
          <w:trHeight w:hRule="exact" w:val="7787"/>
        </w:trPr>
        <w:tc>
          <w:tcPr>
            <w:tcW w:w="1416" w:type="dxa"/>
            <w:tcBorders>
              <w:top w:val="single" w:sz="4" w:space="0" w:color="000000"/>
              <w:left w:val="single" w:sz="4" w:space="0" w:color="000000"/>
              <w:bottom w:val="single" w:sz="4" w:space="0" w:color="000000"/>
              <w:right w:val="single" w:sz="4" w:space="0" w:color="000000"/>
            </w:tcBorders>
            <w:shd w:val="pct20" w:color="auto" w:fill="FFFFFF"/>
          </w:tcPr>
          <w:p w14:paraId="5FD9DF78" w14:textId="77777777" w:rsidR="001B165D" w:rsidRPr="00186028" w:rsidRDefault="001B165D" w:rsidP="00E50A57">
            <w:pPr>
              <w:widowControl w:val="0"/>
              <w:rPr>
                <w:rFonts w:asciiTheme="minorHAnsi" w:hAnsiTheme="minorHAnsi" w:cstheme="minorHAnsi"/>
                <w:sz w:val="20"/>
                <w:szCs w:val="20"/>
                <w:lang w:val="pl-PL"/>
              </w:rPr>
            </w:pPr>
            <w:r w:rsidRPr="00186028">
              <w:rPr>
                <w:rFonts w:asciiTheme="minorHAnsi" w:hAnsiTheme="minorHAnsi" w:cstheme="minorHAnsi"/>
                <w:sz w:val="20"/>
                <w:szCs w:val="20"/>
                <w:lang w:val="pl-PL"/>
              </w:rPr>
              <w:t>Streszczenie:</w:t>
            </w:r>
            <w:r w:rsidRPr="00186028">
              <w:rPr>
                <w:rFonts w:asciiTheme="minorHAnsi" w:hAnsiTheme="minorHAnsi" w:cstheme="minorHAnsi"/>
                <w:sz w:val="20"/>
                <w:szCs w:val="20"/>
                <w:lang w:val="pl-PL"/>
              </w:rPr>
              <w:br/>
            </w:r>
          </w:p>
        </w:tc>
        <w:tc>
          <w:tcPr>
            <w:tcW w:w="8222" w:type="dxa"/>
            <w:gridSpan w:val="3"/>
            <w:tcBorders>
              <w:top w:val="single" w:sz="4" w:space="0" w:color="000000"/>
              <w:left w:val="single" w:sz="4" w:space="0" w:color="000000"/>
              <w:bottom w:val="single" w:sz="4" w:space="0" w:color="000000"/>
              <w:right w:val="single" w:sz="4" w:space="0" w:color="000000"/>
            </w:tcBorders>
          </w:tcPr>
          <w:p w14:paraId="445EE864" w14:textId="77777777" w:rsidR="001B165D" w:rsidRPr="00186028" w:rsidRDefault="001B165D" w:rsidP="00E50A57">
            <w:pPr>
              <w:widowControl w:val="0"/>
              <w:rPr>
                <w:rFonts w:asciiTheme="minorHAnsi" w:hAnsiTheme="minorHAnsi" w:cstheme="minorHAnsi"/>
                <w:sz w:val="20"/>
                <w:szCs w:val="20"/>
                <w:lang w:val="pl-PL"/>
              </w:rPr>
            </w:pPr>
            <w:bookmarkStart w:id="2" w:name="docs-internal-guid-170406d5-7fff-7c4f-e4"/>
            <w:bookmarkEnd w:id="2"/>
            <w:r w:rsidRPr="00186028">
              <w:rPr>
                <w:rFonts w:asciiTheme="minorHAnsi" w:hAnsiTheme="minorHAnsi" w:cstheme="minorHAnsi"/>
                <w:color w:val="000000"/>
                <w:sz w:val="20"/>
                <w:szCs w:val="20"/>
                <w:lang w:val="pl-PL"/>
              </w:rPr>
              <w:t>Cel:</w:t>
            </w:r>
          </w:p>
          <w:p w14:paraId="08063074" w14:textId="77777777" w:rsidR="001B165D" w:rsidRPr="00186028" w:rsidRDefault="001B165D" w:rsidP="00E50A57">
            <w:pPr>
              <w:pStyle w:val="Tekstpodstawowy"/>
              <w:widowControl w:val="0"/>
              <w:spacing w:line="331" w:lineRule="auto"/>
              <w:jc w:val="both"/>
              <w:rPr>
                <w:rFonts w:asciiTheme="minorHAnsi" w:hAnsiTheme="minorHAnsi" w:cstheme="minorHAnsi"/>
                <w:color w:val="000000"/>
                <w:sz w:val="20"/>
                <w:szCs w:val="20"/>
              </w:rPr>
            </w:pPr>
            <w:r w:rsidRPr="00186028">
              <w:rPr>
                <w:rFonts w:asciiTheme="minorHAnsi" w:hAnsiTheme="minorHAnsi" w:cstheme="minorHAnsi"/>
                <w:color w:val="000000"/>
                <w:sz w:val="20"/>
                <w:szCs w:val="20"/>
              </w:rPr>
              <w:t>Ocena wpływu pourodzeniowego morfologii jelit u dzieci leczonych z powodu wytrzewienia wrodzonego na parametry warunkujące wyniki leczenia w latach 2010-2024 r.</w:t>
            </w:r>
          </w:p>
          <w:p w14:paraId="707D89BC" w14:textId="77777777" w:rsidR="001B165D" w:rsidRPr="00186028" w:rsidRDefault="001B165D" w:rsidP="00E50A57">
            <w:pPr>
              <w:pStyle w:val="Tekstpodstawowy"/>
              <w:widowControl w:val="0"/>
              <w:spacing w:line="331" w:lineRule="auto"/>
              <w:jc w:val="both"/>
              <w:rPr>
                <w:rFonts w:asciiTheme="minorHAnsi" w:hAnsiTheme="minorHAnsi" w:cstheme="minorHAnsi"/>
                <w:color w:val="000000"/>
                <w:sz w:val="20"/>
                <w:szCs w:val="20"/>
              </w:rPr>
            </w:pPr>
            <w:r w:rsidRPr="00186028">
              <w:rPr>
                <w:rFonts w:asciiTheme="minorHAnsi" w:hAnsiTheme="minorHAnsi" w:cstheme="minorHAnsi"/>
                <w:color w:val="000000"/>
                <w:sz w:val="20"/>
                <w:szCs w:val="20"/>
              </w:rPr>
              <w:t>Wstęp:</w:t>
            </w:r>
          </w:p>
          <w:p w14:paraId="1B19E8F6" w14:textId="77777777" w:rsidR="001B165D" w:rsidRPr="00186028" w:rsidRDefault="001B165D" w:rsidP="00E50A57">
            <w:pPr>
              <w:pStyle w:val="Tekstpodstawowy"/>
              <w:widowControl w:val="0"/>
              <w:spacing w:line="331" w:lineRule="auto"/>
              <w:jc w:val="both"/>
              <w:rPr>
                <w:rFonts w:asciiTheme="minorHAnsi" w:hAnsiTheme="minorHAnsi" w:cstheme="minorHAnsi"/>
                <w:color w:val="000000"/>
                <w:sz w:val="20"/>
                <w:szCs w:val="20"/>
              </w:rPr>
            </w:pPr>
            <w:r w:rsidRPr="00186028">
              <w:rPr>
                <w:rFonts w:asciiTheme="minorHAnsi" w:hAnsiTheme="minorHAnsi" w:cstheme="minorHAnsi"/>
                <w:color w:val="000000"/>
                <w:sz w:val="20"/>
                <w:szCs w:val="20"/>
              </w:rPr>
              <w:t>Wytrzewienie jest wadą wrodzoną występującą w populacji z częstością 1:2500. Optymalnym jest rozpoznanie prenatalne wady i leczenie operacyjne w pierwszych godzinach po porodzie. Celem pracy była ocena wpływu pourodzeniowego stanu jelit na długość wentylacji, żywienia pozajelitowego i hospitalizacji w Klinice Chirurgii IMiD.</w:t>
            </w:r>
          </w:p>
          <w:p w14:paraId="4C0ADBFD" w14:textId="77777777" w:rsidR="001B165D" w:rsidRPr="00186028" w:rsidRDefault="001B165D" w:rsidP="00E50A57">
            <w:pPr>
              <w:pStyle w:val="Tekstpodstawowy"/>
              <w:widowControl w:val="0"/>
              <w:spacing w:line="331" w:lineRule="auto"/>
              <w:jc w:val="both"/>
              <w:rPr>
                <w:rFonts w:asciiTheme="minorHAnsi" w:hAnsiTheme="minorHAnsi" w:cstheme="minorHAnsi"/>
                <w:color w:val="000000"/>
                <w:sz w:val="20"/>
                <w:szCs w:val="20"/>
              </w:rPr>
            </w:pPr>
            <w:r w:rsidRPr="00186028">
              <w:rPr>
                <w:rFonts w:asciiTheme="minorHAnsi" w:hAnsiTheme="minorHAnsi" w:cstheme="minorHAnsi"/>
                <w:color w:val="000000"/>
                <w:sz w:val="20"/>
                <w:szCs w:val="20"/>
              </w:rPr>
              <w:t>Materiał i metody:</w:t>
            </w:r>
          </w:p>
          <w:p w14:paraId="57A662B5" w14:textId="77777777" w:rsidR="001B165D" w:rsidRPr="00186028" w:rsidRDefault="001B165D" w:rsidP="00E50A57">
            <w:pPr>
              <w:pStyle w:val="Tekstpodstawowy"/>
              <w:widowControl w:val="0"/>
              <w:spacing w:line="331" w:lineRule="auto"/>
              <w:jc w:val="both"/>
              <w:rPr>
                <w:rFonts w:asciiTheme="minorHAnsi" w:hAnsiTheme="minorHAnsi" w:cstheme="minorHAnsi"/>
                <w:color w:val="000000"/>
                <w:sz w:val="20"/>
                <w:szCs w:val="20"/>
              </w:rPr>
            </w:pPr>
            <w:r w:rsidRPr="00186028">
              <w:rPr>
                <w:rFonts w:asciiTheme="minorHAnsi" w:hAnsiTheme="minorHAnsi" w:cstheme="minorHAnsi"/>
                <w:color w:val="000000"/>
                <w:sz w:val="20"/>
                <w:szCs w:val="20"/>
              </w:rPr>
              <w:t>Retrospektywnej analizie poddano dane 117 dzieci leczonych z powodu wytrzewienia wrodzonego w Klinice Chirurgii IMID w latach 2010-2024. Analizie poddano wpływ morfologii jelit po porodzie na długość wentylacji, żywienia pozajelitowego, wystąpienie infekcji wtórnej  oraz długość hospitalizacji. Zastosowano modele Machine Learning, aby zbadać istotność predykcyjną zmiennych.</w:t>
            </w:r>
          </w:p>
          <w:p w14:paraId="2525A5E1" w14:textId="77777777" w:rsidR="001B165D" w:rsidRPr="00186028" w:rsidRDefault="001B165D" w:rsidP="00E50A57">
            <w:pPr>
              <w:pStyle w:val="Tekstpodstawowy"/>
              <w:widowControl w:val="0"/>
              <w:spacing w:line="331" w:lineRule="auto"/>
              <w:jc w:val="both"/>
              <w:rPr>
                <w:rFonts w:asciiTheme="minorHAnsi" w:hAnsiTheme="minorHAnsi" w:cstheme="minorHAnsi"/>
                <w:color w:val="000000"/>
                <w:sz w:val="20"/>
                <w:szCs w:val="20"/>
              </w:rPr>
            </w:pPr>
            <w:r w:rsidRPr="00186028">
              <w:rPr>
                <w:rFonts w:asciiTheme="minorHAnsi" w:hAnsiTheme="minorHAnsi" w:cstheme="minorHAnsi"/>
                <w:color w:val="000000"/>
                <w:sz w:val="20"/>
                <w:szCs w:val="20"/>
              </w:rPr>
              <w:t>Wyniki i wnioski:</w:t>
            </w:r>
          </w:p>
          <w:p w14:paraId="30596056" w14:textId="77777777" w:rsidR="001B165D" w:rsidRPr="00186028" w:rsidRDefault="001B165D" w:rsidP="00E50A57">
            <w:pPr>
              <w:pStyle w:val="Tekstpodstawowy"/>
              <w:widowControl w:val="0"/>
              <w:spacing w:line="331" w:lineRule="auto"/>
              <w:jc w:val="both"/>
              <w:rPr>
                <w:rFonts w:asciiTheme="minorHAnsi" w:hAnsiTheme="minorHAnsi" w:cstheme="minorHAnsi"/>
                <w:sz w:val="20"/>
                <w:szCs w:val="20"/>
              </w:rPr>
            </w:pPr>
            <w:r w:rsidRPr="00186028">
              <w:rPr>
                <w:rFonts w:asciiTheme="minorHAnsi" w:hAnsiTheme="minorHAnsi" w:cstheme="minorHAnsi"/>
                <w:color w:val="000000"/>
                <w:sz w:val="20"/>
                <w:szCs w:val="20"/>
              </w:rPr>
              <w:t>W 66 przypadkach jelita morfologicznie oceniono jako stan “dobry”, “średni” w 17 przypadkach natomiast w 34 przypadkach jako “zły’. Potwierdzono, że czynnikiem, który najbardziej wpływał na długość żywienia pozajelitowego, hospitalizacji oraz częstszego występowania infekcji wtórnych był zły stan wytrzewionych jelit. Bez związku wydaje się natomiast stan jelit w stosunku do długości wentylacji mechanicznej.</w:t>
            </w:r>
          </w:p>
          <w:p w14:paraId="6FD19489" w14:textId="77777777" w:rsidR="001B165D" w:rsidRPr="00186028" w:rsidRDefault="001B165D" w:rsidP="00E50A57">
            <w:pPr>
              <w:pStyle w:val="Tekstpodstawowy"/>
              <w:widowControl w:val="0"/>
              <w:spacing w:line="331" w:lineRule="auto"/>
              <w:jc w:val="both"/>
              <w:rPr>
                <w:rFonts w:asciiTheme="minorHAnsi" w:hAnsiTheme="minorHAnsi" w:cstheme="minorHAnsi"/>
                <w:sz w:val="20"/>
                <w:szCs w:val="20"/>
              </w:rPr>
            </w:pPr>
            <w:r w:rsidRPr="00186028">
              <w:rPr>
                <w:rFonts w:asciiTheme="minorHAnsi" w:hAnsiTheme="minorHAnsi" w:cstheme="minorHAnsi"/>
                <w:sz w:val="20"/>
                <w:szCs w:val="20"/>
              </w:rPr>
              <w:br/>
            </w:r>
          </w:p>
        </w:tc>
      </w:tr>
    </w:tbl>
    <w:p w14:paraId="62B13BD3" w14:textId="77777777" w:rsidR="001B165D" w:rsidRDefault="001B165D" w:rsidP="001B165D">
      <w:pPr>
        <w:rPr>
          <w:lang w:val="pl-PL"/>
        </w:rPr>
      </w:pPr>
    </w:p>
    <w:p w14:paraId="453598DF" w14:textId="77777777" w:rsidR="001B165D" w:rsidRDefault="001B165D">
      <w:pPr>
        <w:rPr>
          <w:lang w:val="pl-PL"/>
        </w:rPr>
      </w:pPr>
    </w:p>
    <w:p w14:paraId="4450FDE5" w14:textId="77777777" w:rsidR="001B165D" w:rsidRDefault="001B165D">
      <w:pPr>
        <w:rPr>
          <w:lang w:val="pl-PL"/>
        </w:rPr>
      </w:pPr>
    </w:p>
    <w:p w14:paraId="722917C6" w14:textId="77777777" w:rsidR="001B165D" w:rsidRDefault="001B165D">
      <w:pPr>
        <w:rPr>
          <w:lang w:val="pl-PL"/>
        </w:rPr>
      </w:pPr>
    </w:p>
    <w:p w14:paraId="2D82021D" w14:textId="77777777" w:rsidR="001B165D" w:rsidRDefault="001B165D">
      <w:pPr>
        <w:rPr>
          <w:lang w:val="pl-PL"/>
        </w:rPr>
      </w:pPr>
    </w:p>
    <w:p w14:paraId="6F97DDB0" w14:textId="77777777" w:rsidR="001B165D" w:rsidRDefault="001B165D">
      <w:pPr>
        <w:rPr>
          <w:lang w:val="pl-PL"/>
        </w:rPr>
      </w:pPr>
    </w:p>
    <w:p w14:paraId="302089E5" w14:textId="77777777" w:rsidR="001B165D" w:rsidRDefault="001B165D">
      <w:pPr>
        <w:rPr>
          <w:lang w:val="pl-PL"/>
        </w:rPr>
      </w:pPr>
    </w:p>
    <w:p w14:paraId="6B56F1D4" w14:textId="77777777" w:rsidR="001B165D" w:rsidRDefault="001B165D">
      <w:pPr>
        <w:rPr>
          <w:lang w:val="pl-PL"/>
        </w:rPr>
      </w:pPr>
    </w:p>
    <w:p w14:paraId="67F1A7B1" w14:textId="77777777" w:rsidR="001B165D" w:rsidRDefault="001B165D" w:rsidP="001B165D">
      <w:pPr>
        <w:pStyle w:val="Nagwek1"/>
      </w:pPr>
    </w:p>
    <w:tbl>
      <w:tblPr>
        <w:tblW w:w="9639" w:type="dxa"/>
        <w:tblInd w:w="-346" w:type="dxa"/>
        <w:tblLayout w:type="fixed"/>
        <w:tblLook w:val="0000" w:firstRow="0" w:lastRow="0" w:firstColumn="0" w:lastColumn="0" w:noHBand="0" w:noVBand="0"/>
      </w:tblPr>
      <w:tblGrid>
        <w:gridCol w:w="1418"/>
        <w:gridCol w:w="4395"/>
        <w:gridCol w:w="1700"/>
        <w:gridCol w:w="2126"/>
      </w:tblGrid>
      <w:tr w:rsidR="001B165D" w:rsidRPr="00D80AC7" w14:paraId="169C22CF" w14:textId="77777777" w:rsidTr="00E50A57">
        <w:trPr>
          <w:trHeight w:hRule="exact" w:val="822"/>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3CBB2E6E" w14:textId="77777777" w:rsidR="001B165D" w:rsidRPr="00D80AC7" w:rsidRDefault="001B165D" w:rsidP="00E50A57">
            <w:pPr>
              <w:widowControl w:val="0"/>
              <w:rPr>
                <w:rFonts w:ascii="Calibri" w:hAnsi="Calibri" w:cs="Calibri"/>
                <w:bCs/>
                <w:sz w:val="20"/>
                <w:szCs w:val="20"/>
              </w:rPr>
            </w:pPr>
            <w:r w:rsidRPr="00D80AC7">
              <w:rPr>
                <w:rFonts w:ascii="Calibri" w:hAnsi="Calibri" w:cs="Calibri"/>
                <w:bCs/>
                <w:sz w:val="20"/>
                <w:szCs w:val="20"/>
              </w:rPr>
              <w:t>Tytuł:</w:t>
            </w:r>
          </w:p>
          <w:p w14:paraId="73F118D6" w14:textId="77777777" w:rsidR="001B165D" w:rsidRPr="00D80AC7" w:rsidRDefault="001B165D" w:rsidP="00E50A57">
            <w:pPr>
              <w:widowControl w:val="0"/>
              <w:rPr>
                <w:rFonts w:ascii="Calibri" w:hAnsi="Calibri" w:cs="Calibri"/>
                <w:bCs/>
                <w:sz w:val="20"/>
                <w:szCs w:val="20"/>
              </w:rPr>
            </w:pPr>
          </w:p>
        </w:tc>
        <w:tc>
          <w:tcPr>
            <w:tcW w:w="8221" w:type="dxa"/>
            <w:gridSpan w:val="3"/>
            <w:tcBorders>
              <w:top w:val="single" w:sz="4" w:space="0" w:color="000000"/>
              <w:left w:val="single" w:sz="4" w:space="0" w:color="000000"/>
              <w:bottom w:val="single" w:sz="4" w:space="0" w:color="000000"/>
              <w:right w:val="single" w:sz="4" w:space="0" w:color="000000"/>
            </w:tcBorders>
          </w:tcPr>
          <w:p w14:paraId="0352B2A5"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Operacje nerkooszczędzające (NSS) w jednostronnych i obustronnych guzach nerek.</w:t>
            </w:r>
          </w:p>
        </w:tc>
      </w:tr>
      <w:tr w:rsidR="001B165D" w:rsidRPr="00D80AC7" w14:paraId="3C005693" w14:textId="77777777" w:rsidTr="00E50A57">
        <w:trPr>
          <w:trHeight w:hRule="exact" w:val="639"/>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7EF021E2"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 xml:space="preserve">Autorzy: </w:t>
            </w:r>
          </w:p>
        </w:tc>
        <w:tc>
          <w:tcPr>
            <w:tcW w:w="8221" w:type="dxa"/>
            <w:gridSpan w:val="3"/>
            <w:tcBorders>
              <w:top w:val="single" w:sz="4" w:space="0" w:color="000000"/>
              <w:left w:val="single" w:sz="4" w:space="0" w:color="000000"/>
              <w:bottom w:val="single" w:sz="4" w:space="0" w:color="000000"/>
              <w:right w:val="single" w:sz="4" w:space="0" w:color="000000"/>
            </w:tcBorders>
          </w:tcPr>
          <w:p w14:paraId="5D50E545"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Edyta Jędrzejak</w:t>
            </w:r>
            <w:r w:rsidRPr="00D80AC7">
              <w:rPr>
                <w:rFonts w:ascii="Calibri" w:hAnsi="Calibri" w:cs="Calibri"/>
                <w:bCs/>
                <w:sz w:val="20"/>
                <w:szCs w:val="20"/>
                <w:vertAlign w:val="superscript"/>
                <w:lang w:val="pl-PL"/>
              </w:rPr>
              <w:t>1</w:t>
            </w:r>
            <w:r w:rsidRPr="00D80AC7">
              <w:rPr>
                <w:rFonts w:ascii="Calibri" w:hAnsi="Calibri" w:cs="Calibri"/>
                <w:bCs/>
                <w:sz w:val="20"/>
                <w:szCs w:val="20"/>
                <w:lang w:val="pl-PL"/>
              </w:rPr>
              <w:t>, Marzena Kozakiewicz</w:t>
            </w:r>
            <w:r w:rsidRPr="00D80AC7">
              <w:rPr>
                <w:rFonts w:ascii="Calibri" w:hAnsi="Calibri" w:cs="Calibri"/>
                <w:bCs/>
                <w:sz w:val="20"/>
                <w:szCs w:val="20"/>
                <w:vertAlign w:val="superscript"/>
                <w:lang w:val="pl-PL"/>
              </w:rPr>
              <w:t>1</w:t>
            </w:r>
            <w:r w:rsidRPr="00D80AC7">
              <w:rPr>
                <w:rFonts w:ascii="Calibri" w:hAnsi="Calibri" w:cs="Calibri"/>
                <w:bCs/>
                <w:sz w:val="20"/>
                <w:szCs w:val="20"/>
                <w:lang w:val="pl-PL"/>
              </w:rPr>
              <w:t>, Anna Wojtyłko</w:t>
            </w:r>
            <w:r w:rsidRPr="00D80AC7">
              <w:rPr>
                <w:rFonts w:ascii="Calibri" w:hAnsi="Calibri" w:cs="Calibri"/>
                <w:bCs/>
                <w:sz w:val="20"/>
                <w:szCs w:val="20"/>
                <w:vertAlign w:val="superscript"/>
                <w:lang w:val="pl-PL"/>
              </w:rPr>
              <w:t>1</w:t>
            </w:r>
            <w:r w:rsidRPr="00D80AC7">
              <w:rPr>
                <w:rFonts w:ascii="Calibri" w:hAnsi="Calibri" w:cs="Calibri"/>
                <w:bCs/>
                <w:sz w:val="20"/>
                <w:szCs w:val="20"/>
                <w:lang w:val="pl-PL"/>
              </w:rPr>
              <w:t xml:space="preserve"> Iwona Dachowska-</w:t>
            </w:r>
          </w:p>
          <w:p w14:paraId="03785FD0"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Kałwak</w:t>
            </w:r>
            <w:r w:rsidRPr="00D80AC7">
              <w:rPr>
                <w:rFonts w:ascii="Calibri" w:hAnsi="Calibri" w:cs="Calibri"/>
                <w:bCs/>
                <w:sz w:val="20"/>
                <w:szCs w:val="20"/>
                <w:vertAlign w:val="superscript"/>
                <w:lang w:val="pl-PL"/>
              </w:rPr>
              <w:t xml:space="preserve"> 3 </w:t>
            </w:r>
            <w:r w:rsidRPr="00D80AC7">
              <w:rPr>
                <w:rFonts w:ascii="Calibri" w:hAnsi="Calibri" w:cs="Calibri"/>
                <w:bCs/>
                <w:sz w:val="20"/>
                <w:szCs w:val="20"/>
                <w:lang w:val="pl-PL"/>
              </w:rPr>
              <w:t>, Mateusz Łyżwa</w:t>
            </w:r>
            <w:r w:rsidRPr="00D80AC7">
              <w:rPr>
                <w:rFonts w:ascii="Calibri" w:hAnsi="Calibri" w:cs="Calibri"/>
                <w:bCs/>
                <w:sz w:val="20"/>
                <w:szCs w:val="20"/>
                <w:vertAlign w:val="superscript"/>
                <w:lang w:val="pl-PL"/>
              </w:rPr>
              <w:t>3</w:t>
            </w:r>
            <w:r w:rsidRPr="00D80AC7">
              <w:rPr>
                <w:rFonts w:ascii="Calibri" w:hAnsi="Calibri" w:cs="Calibri"/>
                <w:bCs/>
                <w:sz w:val="20"/>
                <w:szCs w:val="20"/>
                <w:lang w:val="pl-PL"/>
              </w:rPr>
              <w:t xml:space="preserve"> , Wojciech Pietras</w:t>
            </w:r>
            <w:r w:rsidRPr="00D80AC7">
              <w:rPr>
                <w:rFonts w:ascii="Calibri" w:hAnsi="Calibri" w:cs="Calibri"/>
                <w:bCs/>
                <w:sz w:val="20"/>
                <w:szCs w:val="20"/>
                <w:vertAlign w:val="superscript"/>
                <w:lang w:val="pl-PL"/>
              </w:rPr>
              <w:t>3</w:t>
            </w:r>
            <w:r w:rsidRPr="00D80AC7">
              <w:rPr>
                <w:rFonts w:ascii="Calibri" w:hAnsi="Calibri" w:cs="Calibri"/>
                <w:bCs/>
                <w:sz w:val="20"/>
                <w:szCs w:val="20"/>
                <w:lang w:val="pl-PL"/>
              </w:rPr>
              <w:t>, Małgorzata Rąpała</w:t>
            </w:r>
            <w:r w:rsidRPr="00D80AC7">
              <w:rPr>
                <w:rFonts w:ascii="Calibri" w:hAnsi="Calibri" w:cs="Calibri"/>
                <w:bCs/>
                <w:sz w:val="20"/>
                <w:szCs w:val="20"/>
                <w:vertAlign w:val="superscript"/>
                <w:lang w:val="pl-PL"/>
              </w:rPr>
              <w:t>1</w:t>
            </w:r>
            <w:r w:rsidRPr="00D80AC7">
              <w:rPr>
                <w:rFonts w:ascii="Calibri" w:hAnsi="Calibri" w:cs="Calibri"/>
                <w:bCs/>
                <w:sz w:val="20"/>
                <w:szCs w:val="20"/>
                <w:lang w:val="pl-PL"/>
              </w:rPr>
              <w:t>, Jan Godziński</w:t>
            </w:r>
            <w:r w:rsidRPr="00D80AC7">
              <w:rPr>
                <w:rFonts w:ascii="Calibri" w:hAnsi="Calibri" w:cs="Calibri"/>
                <w:bCs/>
                <w:sz w:val="20"/>
                <w:szCs w:val="20"/>
                <w:vertAlign w:val="superscript"/>
                <w:lang w:val="pl-PL"/>
              </w:rPr>
              <w:t>1,2</w:t>
            </w:r>
          </w:p>
        </w:tc>
      </w:tr>
      <w:tr w:rsidR="001B165D" w:rsidRPr="00D80AC7" w14:paraId="441ACD00" w14:textId="77777777" w:rsidTr="00E50A57">
        <w:trPr>
          <w:cantSplit/>
          <w:trHeight w:hRule="exact" w:val="1434"/>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74061F17"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Ośrodek:</w:t>
            </w:r>
          </w:p>
          <w:p w14:paraId="29E39F75"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E-mail:</w:t>
            </w:r>
          </w:p>
        </w:tc>
        <w:tc>
          <w:tcPr>
            <w:tcW w:w="8221" w:type="dxa"/>
            <w:gridSpan w:val="3"/>
            <w:tcBorders>
              <w:top w:val="single" w:sz="4" w:space="0" w:color="000000"/>
              <w:left w:val="single" w:sz="4" w:space="0" w:color="000000"/>
              <w:bottom w:val="single" w:sz="4" w:space="0" w:color="000000"/>
              <w:right w:val="single" w:sz="4" w:space="0" w:color="000000"/>
            </w:tcBorders>
          </w:tcPr>
          <w:p w14:paraId="1C6906C6"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1) Dolnośląski Szpital Specjalistyczny im. T. Marciniaka, Wrocław, Poland</w:t>
            </w:r>
          </w:p>
          <w:p w14:paraId="0435A769"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2) Zakład Traumatologii i Medycyny Ratunkowej Wieku Rozwojowego,</w:t>
            </w:r>
          </w:p>
          <w:p w14:paraId="19641394"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 xml:space="preserve"> Uniwersytet Medyczny im. Piastów Śląskich we Wrocławiu</w:t>
            </w:r>
          </w:p>
          <w:p w14:paraId="2F4FE397"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3) Katedra i Klinika Transplantacji Szpiku, Onkologii i Hematologii Dziecięcej, Uniwersytet Medyc</w:t>
            </w:r>
            <w:r w:rsidRPr="00D80AC7">
              <w:rPr>
                <w:rFonts w:ascii="Calibri" w:hAnsi="Calibri" w:cs="Calibri"/>
                <w:bCs/>
                <w:sz w:val="20"/>
                <w:szCs w:val="20"/>
                <w:lang w:val="pl-PL"/>
              </w:rPr>
              <w:t>z</w:t>
            </w:r>
            <w:r w:rsidRPr="00D80AC7">
              <w:rPr>
                <w:rFonts w:ascii="Calibri" w:hAnsi="Calibri" w:cs="Calibri"/>
                <w:bCs/>
                <w:sz w:val="20"/>
                <w:szCs w:val="20"/>
                <w:lang w:val="pl-PL"/>
              </w:rPr>
              <w:t>ny im. Piastów Śląskich we Wrocławiu</w:t>
            </w:r>
          </w:p>
          <w:p w14:paraId="26DAF4FE" w14:textId="77777777" w:rsidR="001B165D"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 xml:space="preserve">e-mail: </w:t>
            </w:r>
            <w:hyperlink r:id="rId8" w:history="1">
              <w:r w:rsidRPr="00E60033">
                <w:rPr>
                  <w:rStyle w:val="Hipercze"/>
                  <w:rFonts w:ascii="Calibri" w:hAnsi="Calibri" w:cs="Calibri"/>
                  <w:bCs/>
                  <w:sz w:val="20"/>
                  <w:szCs w:val="20"/>
                  <w:lang w:val="pl-PL"/>
                </w:rPr>
                <w:t>edyta.jedrzejak@gmail.com</w:t>
              </w:r>
            </w:hyperlink>
          </w:p>
          <w:p w14:paraId="38F585A5" w14:textId="77777777" w:rsidR="001B165D" w:rsidRPr="00D80AC7" w:rsidRDefault="001B165D" w:rsidP="00E50A57">
            <w:pPr>
              <w:widowControl w:val="0"/>
              <w:rPr>
                <w:rFonts w:ascii="Calibri" w:hAnsi="Calibri" w:cs="Calibri"/>
                <w:bCs/>
                <w:sz w:val="20"/>
                <w:szCs w:val="20"/>
                <w:lang w:val="pl-PL"/>
              </w:rPr>
            </w:pPr>
          </w:p>
          <w:p w14:paraId="3E14EED2" w14:textId="77777777" w:rsidR="001B165D" w:rsidRPr="00D80AC7" w:rsidRDefault="001B165D" w:rsidP="00E50A57">
            <w:pPr>
              <w:widowControl w:val="0"/>
              <w:rPr>
                <w:rFonts w:ascii="Calibri" w:hAnsi="Calibri" w:cs="Calibri"/>
                <w:bCs/>
                <w:sz w:val="20"/>
                <w:szCs w:val="20"/>
                <w:lang w:val="pl-PL"/>
              </w:rPr>
            </w:pPr>
          </w:p>
        </w:tc>
      </w:tr>
      <w:tr w:rsidR="001B165D" w:rsidRPr="00D80AC7" w14:paraId="7BFF8FB0" w14:textId="77777777" w:rsidTr="00E50A57">
        <w:trPr>
          <w:trHeight w:hRule="exact" w:val="994"/>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53374341"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XXI Symp</w:t>
            </w:r>
            <w:r w:rsidRPr="00D80AC7">
              <w:rPr>
                <w:rFonts w:ascii="Calibri" w:hAnsi="Calibri" w:cs="Calibri"/>
                <w:bCs/>
                <w:sz w:val="20"/>
                <w:szCs w:val="20"/>
                <w:lang w:val="pl-PL"/>
              </w:rPr>
              <w:t>o</w:t>
            </w:r>
            <w:r w:rsidRPr="00D80AC7">
              <w:rPr>
                <w:rFonts w:ascii="Calibri" w:hAnsi="Calibri" w:cs="Calibri"/>
                <w:bCs/>
                <w:sz w:val="20"/>
                <w:szCs w:val="20"/>
                <w:lang w:val="pl-PL"/>
              </w:rPr>
              <w:t>zjum Interd</w:t>
            </w:r>
            <w:r w:rsidRPr="00D80AC7">
              <w:rPr>
                <w:rFonts w:ascii="Calibri" w:hAnsi="Calibri" w:cs="Calibri"/>
                <w:bCs/>
                <w:sz w:val="20"/>
                <w:szCs w:val="20"/>
                <w:lang w:val="pl-PL"/>
              </w:rPr>
              <w:t>y</w:t>
            </w:r>
            <w:r w:rsidRPr="00D80AC7">
              <w:rPr>
                <w:rFonts w:ascii="Calibri" w:hAnsi="Calibri" w:cs="Calibri"/>
                <w:bCs/>
                <w:sz w:val="20"/>
                <w:szCs w:val="20"/>
                <w:lang w:val="pl-PL"/>
              </w:rPr>
              <w:t xml:space="preserve">scyplinarne </w:t>
            </w:r>
          </w:p>
          <w:p w14:paraId="0A1BEEAE"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6  grudnia 2024</w:t>
            </w:r>
          </w:p>
          <w:p w14:paraId="6CA0496C" w14:textId="77777777" w:rsidR="001B165D" w:rsidRPr="00D80AC7" w:rsidRDefault="001B165D" w:rsidP="00E50A57">
            <w:pPr>
              <w:widowControl w:val="0"/>
              <w:tabs>
                <w:tab w:val="left" w:pos="1365"/>
              </w:tabs>
              <w:rPr>
                <w:rFonts w:ascii="Calibri" w:hAnsi="Calibri" w:cs="Calibri"/>
                <w:bCs/>
                <w:sz w:val="20"/>
                <w:szCs w:val="20"/>
                <w:lang w:val="pl-PL"/>
              </w:rPr>
            </w:pPr>
            <w:r w:rsidRPr="00D80AC7">
              <w:rPr>
                <w:rFonts w:ascii="Calibri" w:hAnsi="Calibri" w:cs="Calibri"/>
                <w:bCs/>
                <w:sz w:val="20"/>
                <w:szCs w:val="20"/>
                <w:lang w:val="pl-PL"/>
              </w:rPr>
              <w:t>doniesienie ustne</w:t>
            </w:r>
          </w:p>
        </w:tc>
        <w:tc>
          <w:tcPr>
            <w:tcW w:w="4395" w:type="dxa"/>
            <w:tcBorders>
              <w:top w:val="single" w:sz="4" w:space="0" w:color="000000"/>
              <w:left w:val="single" w:sz="4" w:space="0" w:color="000000"/>
              <w:bottom w:val="single" w:sz="4" w:space="0" w:color="000000"/>
              <w:right w:val="single" w:sz="4" w:space="0" w:color="000000"/>
            </w:tcBorders>
          </w:tcPr>
          <w:p w14:paraId="5C2DA79F" w14:textId="77777777" w:rsidR="001B165D" w:rsidRPr="00D80AC7" w:rsidRDefault="001B165D" w:rsidP="00E50A57">
            <w:pPr>
              <w:widowControl w:val="0"/>
              <w:rPr>
                <w:rFonts w:ascii="Calibri" w:hAnsi="Calibri" w:cs="Calibri"/>
                <w:bCs/>
                <w:sz w:val="20"/>
                <w:szCs w:val="20"/>
                <w:lang w:val="pl-PL"/>
              </w:rPr>
            </w:pPr>
            <w:r>
              <w:rPr>
                <w:rFonts w:ascii="Calibri" w:hAnsi="Calibri" w:cs="Calibri"/>
                <w:bCs/>
                <w:sz w:val="20"/>
                <w:szCs w:val="20"/>
                <w:lang w:val="pl-PL"/>
              </w:rPr>
              <w:t>x</w:t>
            </w:r>
          </w:p>
        </w:tc>
        <w:tc>
          <w:tcPr>
            <w:tcW w:w="1700" w:type="dxa"/>
            <w:tcBorders>
              <w:top w:val="single" w:sz="4" w:space="0" w:color="000000"/>
              <w:left w:val="single" w:sz="4" w:space="0" w:color="000000"/>
              <w:bottom w:val="single" w:sz="4" w:space="0" w:color="000000"/>
              <w:right w:val="single" w:sz="4" w:space="0" w:color="000000"/>
            </w:tcBorders>
            <w:shd w:val="clear" w:color="auto" w:fill="C0C0C0"/>
          </w:tcPr>
          <w:p w14:paraId="5E847479" w14:textId="77777777" w:rsidR="001B165D" w:rsidRPr="00D80AC7" w:rsidRDefault="001B165D" w:rsidP="00E50A57">
            <w:pPr>
              <w:pStyle w:val="Nagwek2"/>
              <w:widowControl w:val="0"/>
              <w:jc w:val="left"/>
              <w:rPr>
                <w:rFonts w:ascii="Calibri" w:hAnsi="Calibri" w:cs="Calibri"/>
                <w:b w:val="0"/>
                <w:sz w:val="20"/>
                <w:szCs w:val="20"/>
                <w:highlight w:val="lightGray"/>
              </w:rPr>
            </w:pPr>
            <w:r w:rsidRPr="00D80AC7">
              <w:rPr>
                <w:rFonts w:ascii="Calibri" w:hAnsi="Calibri" w:cs="Calibri"/>
                <w:b w:val="0"/>
                <w:sz w:val="20"/>
                <w:szCs w:val="20"/>
                <w:highlight w:val="lightGray"/>
              </w:rPr>
              <w:t xml:space="preserve">XI Konferencja Naukowo-Szkoleniowe </w:t>
            </w:r>
          </w:p>
          <w:p w14:paraId="1A752D83" w14:textId="77777777" w:rsidR="001B165D" w:rsidRPr="00D80AC7" w:rsidRDefault="001B165D" w:rsidP="00E50A57">
            <w:pPr>
              <w:pStyle w:val="Nagwek2"/>
              <w:widowControl w:val="0"/>
              <w:jc w:val="left"/>
              <w:rPr>
                <w:rFonts w:ascii="Calibri" w:hAnsi="Calibri" w:cs="Calibri"/>
                <w:b w:val="0"/>
                <w:sz w:val="20"/>
                <w:szCs w:val="20"/>
                <w:highlight w:val="lightGray"/>
              </w:rPr>
            </w:pPr>
            <w:r w:rsidRPr="00D80AC7">
              <w:rPr>
                <w:rFonts w:ascii="Calibri" w:hAnsi="Calibri" w:cs="Calibri"/>
                <w:b w:val="0"/>
                <w:sz w:val="20"/>
                <w:szCs w:val="20"/>
                <w:highlight w:val="lightGray"/>
              </w:rPr>
              <w:t>7 grudnia 2024</w:t>
            </w:r>
          </w:p>
          <w:p w14:paraId="1C5FAF1E" w14:textId="77777777" w:rsidR="001B165D" w:rsidRPr="00D80AC7" w:rsidRDefault="001B165D" w:rsidP="00E50A57">
            <w:pPr>
              <w:widowControl w:val="0"/>
              <w:rPr>
                <w:rFonts w:ascii="Calibri" w:hAnsi="Calibri" w:cs="Calibri"/>
                <w:bCs/>
                <w:sz w:val="20"/>
                <w:szCs w:val="20"/>
                <w:highlight w:val="lightGray"/>
                <w:lang w:val="pl-PL"/>
              </w:rPr>
            </w:pPr>
            <w:r w:rsidRPr="00D80AC7">
              <w:rPr>
                <w:rFonts w:ascii="Calibri" w:hAnsi="Calibri" w:cs="Calibri"/>
                <w:bCs/>
                <w:sz w:val="20"/>
                <w:szCs w:val="20"/>
                <w:highlight w:val="lightGray"/>
                <w:lang w:val="pl-PL"/>
              </w:rPr>
              <w:t>doniesienie ustne</w:t>
            </w:r>
          </w:p>
        </w:tc>
        <w:tc>
          <w:tcPr>
            <w:tcW w:w="2126" w:type="dxa"/>
            <w:tcBorders>
              <w:top w:val="single" w:sz="4" w:space="0" w:color="000000"/>
              <w:left w:val="single" w:sz="4" w:space="0" w:color="000000"/>
              <w:bottom w:val="single" w:sz="4" w:space="0" w:color="000000"/>
              <w:right w:val="single" w:sz="4" w:space="0" w:color="000000"/>
            </w:tcBorders>
          </w:tcPr>
          <w:p w14:paraId="1DCDD20A" w14:textId="77777777" w:rsidR="001B165D" w:rsidRPr="00D80AC7" w:rsidRDefault="001B165D" w:rsidP="00E50A57">
            <w:pPr>
              <w:widowControl w:val="0"/>
              <w:rPr>
                <w:rFonts w:ascii="Calibri" w:hAnsi="Calibri" w:cs="Calibri"/>
                <w:bCs/>
                <w:sz w:val="20"/>
                <w:szCs w:val="20"/>
                <w:lang w:val="pl-PL"/>
              </w:rPr>
            </w:pPr>
          </w:p>
        </w:tc>
      </w:tr>
      <w:tr w:rsidR="001B165D" w:rsidRPr="00D80AC7" w14:paraId="370C3256" w14:textId="77777777" w:rsidTr="00E50A57">
        <w:trPr>
          <w:trHeight w:hRule="exact" w:val="7980"/>
        </w:trPr>
        <w:tc>
          <w:tcPr>
            <w:tcW w:w="1417" w:type="dxa"/>
            <w:tcBorders>
              <w:top w:val="single" w:sz="4" w:space="0" w:color="000000"/>
              <w:left w:val="single" w:sz="4" w:space="0" w:color="000000"/>
              <w:bottom w:val="single" w:sz="4" w:space="0" w:color="000000"/>
              <w:right w:val="single" w:sz="4" w:space="0" w:color="000000"/>
            </w:tcBorders>
            <w:shd w:val="pct20" w:color="auto" w:fill="FFFFFF"/>
          </w:tcPr>
          <w:p w14:paraId="16384CC6"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Streszczenie:</w:t>
            </w:r>
            <w:r w:rsidRPr="00D80AC7">
              <w:rPr>
                <w:rFonts w:ascii="Calibri" w:hAnsi="Calibri" w:cs="Calibri"/>
                <w:bCs/>
                <w:sz w:val="20"/>
                <w:szCs w:val="20"/>
                <w:lang w:val="pl-PL"/>
              </w:rPr>
              <w:br/>
            </w:r>
          </w:p>
        </w:tc>
        <w:tc>
          <w:tcPr>
            <w:tcW w:w="8221" w:type="dxa"/>
            <w:gridSpan w:val="3"/>
            <w:tcBorders>
              <w:top w:val="single" w:sz="4" w:space="0" w:color="000000"/>
              <w:left w:val="single" w:sz="4" w:space="0" w:color="000000"/>
              <w:bottom w:val="single" w:sz="4" w:space="0" w:color="000000"/>
              <w:right w:val="single" w:sz="4" w:space="0" w:color="000000"/>
            </w:tcBorders>
          </w:tcPr>
          <w:p w14:paraId="08E608E5"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Cel badania: Analiza możliwości wykonania NSS w jednostronnych i obustronnych guzach nerek.</w:t>
            </w:r>
          </w:p>
          <w:p w14:paraId="7BEFFF2C" w14:textId="77777777" w:rsidR="001B165D" w:rsidRPr="00D80AC7" w:rsidRDefault="001B165D" w:rsidP="00E50A57">
            <w:pPr>
              <w:widowControl w:val="0"/>
              <w:rPr>
                <w:rFonts w:ascii="Calibri" w:hAnsi="Calibri" w:cs="Calibri"/>
                <w:bCs/>
                <w:sz w:val="20"/>
                <w:szCs w:val="20"/>
                <w:lang w:val="pl-PL"/>
              </w:rPr>
            </w:pPr>
          </w:p>
          <w:p w14:paraId="411D2DDA"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Metody: Przeanalizowano dane pacjentów, leczonych w naszym Oddziale, z jedno- (35 pacjentów) i obustronnymi (14 pacjentów) guzami nerek z lat 2017-2019, u których wykonano zabieg NSS lub nefrektomię całkowitą. W grupie pacjentów z guzem jednostronnym wykonano 16 nefrektomii całkowitych i 19 zabiegów nerkooszczędzających. Wśród pacjentów z obustronnym guzem wyk</w:t>
            </w:r>
            <w:r w:rsidRPr="00D80AC7">
              <w:rPr>
                <w:rFonts w:ascii="Calibri" w:hAnsi="Calibri" w:cs="Calibri"/>
                <w:bCs/>
                <w:sz w:val="20"/>
                <w:szCs w:val="20"/>
                <w:lang w:val="pl-PL"/>
              </w:rPr>
              <w:t>o</w:t>
            </w:r>
            <w:r w:rsidRPr="00D80AC7">
              <w:rPr>
                <w:rFonts w:ascii="Calibri" w:hAnsi="Calibri" w:cs="Calibri"/>
                <w:bCs/>
                <w:sz w:val="20"/>
                <w:szCs w:val="20"/>
                <w:lang w:val="pl-PL"/>
              </w:rPr>
              <w:t>nano 6 nefrektomii całkowitych i 18 zabiegów nerkooszczędzających. Grupa pacjentów zakwalif</w:t>
            </w:r>
            <w:r w:rsidRPr="00D80AC7">
              <w:rPr>
                <w:rFonts w:ascii="Calibri" w:hAnsi="Calibri" w:cs="Calibri"/>
                <w:bCs/>
                <w:sz w:val="20"/>
                <w:szCs w:val="20"/>
                <w:lang w:val="pl-PL"/>
              </w:rPr>
              <w:t>i</w:t>
            </w:r>
            <w:r w:rsidRPr="00D80AC7">
              <w:rPr>
                <w:rFonts w:ascii="Calibri" w:hAnsi="Calibri" w:cs="Calibri"/>
                <w:bCs/>
                <w:sz w:val="20"/>
                <w:szCs w:val="20"/>
                <w:lang w:val="pl-PL"/>
              </w:rPr>
              <w:t>kowanych do NSS była starannie dobrana pod kątem bezpieczeństwa onkologicznego i obejmow</w:t>
            </w:r>
            <w:r w:rsidRPr="00D80AC7">
              <w:rPr>
                <w:rFonts w:ascii="Calibri" w:hAnsi="Calibri" w:cs="Calibri"/>
                <w:bCs/>
                <w:sz w:val="20"/>
                <w:szCs w:val="20"/>
                <w:lang w:val="pl-PL"/>
              </w:rPr>
              <w:t>a</w:t>
            </w:r>
            <w:r w:rsidRPr="00D80AC7">
              <w:rPr>
                <w:rFonts w:ascii="Calibri" w:hAnsi="Calibri" w:cs="Calibri"/>
                <w:bCs/>
                <w:sz w:val="20"/>
                <w:szCs w:val="20"/>
                <w:lang w:val="pl-PL"/>
              </w:rPr>
              <w:t>ła zarówno pacjentów miejscowych jak i pacjentów przeniesionych z innych centrów hematoonk</w:t>
            </w:r>
            <w:r w:rsidRPr="00D80AC7">
              <w:rPr>
                <w:rFonts w:ascii="Calibri" w:hAnsi="Calibri" w:cs="Calibri"/>
                <w:bCs/>
                <w:sz w:val="20"/>
                <w:szCs w:val="20"/>
                <w:lang w:val="pl-PL"/>
              </w:rPr>
              <w:t>o</w:t>
            </w:r>
            <w:r w:rsidRPr="00D80AC7">
              <w:rPr>
                <w:rFonts w:ascii="Calibri" w:hAnsi="Calibri" w:cs="Calibri"/>
                <w:bCs/>
                <w:sz w:val="20"/>
                <w:szCs w:val="20"/>
                <w:lang w:val="pl-PL"/>
              </w:rPr>
              <w:t>logicznych. Wszyscy pacjenci leczeni byli według protokołu Umbrella.</w:t>
            </w:r>
          </w:p>
          <w:p w14:paraId="1774C935" w14:textId="77777777" w:rsidR="001B165D" w:rsidRPr="00D80AC7" w:rsidRDefault="001B165D" w:rsidP="00E50A57">
            <w:pPr>
              <w:widowControl w:val="0"/>
              <w:rPr>
                <w:rFonts w:ascii="Calibri" w:hAnsi="Calibri" w:cs="Calibri"/>
                <w:bCs/>
                <w:sz w:val="20"/>
                <w:szCs w:val="20"/>
                <w:lang w:val="pl-PL"/>
              </w:rPr>
            </w:pPr>
          </w:p>
          <w:p w14:paraId="7657B4E4"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Wyniki: Zarówno w przypadku nefrektomii całkowitej, jak i operacjach nerkooszczędzających, doszczętność wyniosła 100%. W grupie guzów jednostronnych rozpoznania histopatologiczne były następujące: nephroblastoma 23, cystic nephroma 5, mesoblastic nephroma 3, renal cell carcin</w:t>
            </w:r>
            <w:r w:rsidRPr="00D80AC7">
              <w:rPr>
                <w:rFonts w:ascii="Calibri" w:hAnsi="Calibri" w:cs="Calibri"/>
                <w:bCs/>
                <w:sz w:val="20"/>
                <w:szCs w:val="20"/>
                <w:lang w:val="pl-PL"/>
              </w:rPr>
              <w:t>o</w:t>
            </w:r>
            <w:r w:rsidRPr="00D80AC7">
              <w:rPr>
                <w:rFonts w:ascii="Calibri" w:hAnsi="Calibri" w:cs="Calibri"/>
                <w:bCs/>
                <w:sz w:val="20"/>
                <w:szCs w:val="20"/>
                <w:lang w:val="pl-PL"/>
              </w:rPr>
              <w:t>ma 1, nephroblastomatosis 1, angiomyolipoma 1, vascular malformation 1. W grupie pacjentów z guzem obustronnym u 5 pacjentów wykonano obustronne zabiegi nerkooszczędzające, natomiast u pozostałych 5 wykonano jednostronny NSS i kontralateralną całkowitą nefrektomię. W tej grupie rozpoznano nefroblastomę u 16 pacjentów i nefroblastomatozę u 2 pacjentów. Przeżywalność po NSS w guzach jedno- i obustronnych wyniosła 100%. W 17 przypadkach czas obserwacji przekr</w:t>
            </w:r>
            <w:r w:rsidRPr="00D80AC7">
              <w:rPr>
                <w:rFonts w:ascii="Calibri" w:hAnsi="Calibri" w:cs="Calibri"/>
                <w:bCs/>
                <w:sz w:val="20"/>
                <w:szCs w:val="20"/>
                <w:lang w:val="pl-PL"/>
              </w:rPr>
              <w:t>o</w:t>
            </w:r>
            <w:r w:rsidRPr="00D80AC7">
              <w:rPr>
                <w:rFonts w:ascii="Calibri" w:hAnsi="Calibri" w:cs="Calibri"/>
                <w:bCs/>
                <w:sz w:val="20"/>
                <w:szCs w:val="20"/>
                <w:lang w:val="pl-PL"/>
              </w:rPr>
              <w:t>czył 5 lat; brak danych w odniesieniu do 3 pacjentów.</w:t>
            </w:r>
          </w:p>
          <w:p w14:paraId="1DC38957" w14:textId="77777777" w:rsidR="001B165D" w:rsidRPr="00D80AC7" w:rsidRDefault="001B165D" w:rsidP="00E50A57">
            <w:pPr>
              <w:widowControl w:val="0"/>
              <w:rPr>
                <w:rFonts w:ascii="Calibri" w:hAnsi="Calibri" w:cs="Calibri"/>
                <w:bCs/>
                <w:sz w:val="20"/>
                <w:szCs w:val="20"/>
                <w:lang w:val="pl-PL"/>
              </w:rPr>
            </w:pPr>
          </w:p>
          <w:p w14:paraId="7178817B" w14:textId="77777777" w:rsidR="001B165D" w:rsidRPr="00D80AC7" w:rsidRDefault="001B165D" w:rsidP="00E50A57">
            <w:pPr>
              <w:widowControl w:val="0"/>
              <w:rPr>
                <w:rFonts w:ascii="Calibri" w:hAnsi="Calibri" w:cs="Calibri"/>
                <w:bCs/>
                <w:sz w:val="20"/>
                <w:szCs w:val="20"/>
                <w:lang w:val="pl-PL"/>
              </w:rPr>
            </w:pPr>
            <w:r w:rsidRPr="00D80AC7">
              <w:rPr>
                <w:rFonts w:ascii="Calibri" w:hAnsi="Calibri" w:cs="Calibri"/>
                <w:bCs/>
                <w:sz w:val="20"/>
                <w:szCs w:val="20"/>
                <w:lang w:val="pl-PL"/>
              </w:rPr>
              <w:t xml:space="preserve">Wnioski: Obustronny NSS w V stadium zaawansowania guza nerek był wykonalny w 38%, podczas gdy u pozostałych chorych konieczne było usunięcie jednej z nerek. Nie wykonano obustronnych nefrektomii całkowitych. Wśród pacjentów z jednostronnym guzem nerek odsetek NSS wyniósł 54%, ale była to grupa starannie wyselekcjonowana, w której znajdowali się również pacjenci z innych ośrodków hematoonkologicznych. </w:t>
            </w:r>
          </w:p>
        </w:tc>
      </w:tr>
    </w:tbl>
    <w:p w14:paraId="69F3E162" w14:textId="77777777" w:rsidR="001B165D" w:rsidRDefault="001B165D" w:rsidP="001B165D">
      <w:pPr>
        <w:rPr>
          <w:lang w:val="pl-PL"/>
        </w:rPr>
      </w:pPr>
    </w:p>
    <w:p w14:paraId="60DED8AE" w14:textId="77777777" w:rsidR="001B165D" w:rsidRDefault="001B165D">
      <w:pPr>
        <w:rPr>
          <w:lang w:val="pl-PL"/>
        </w:rPr>
      </w:pPr>
    </w:p>
    <w:p w14:paraId="4C1A6C21" w14:textId="77777777" w:rsidR="001B165D" w:rsidRDefault="001B165D">
      <w:pPr>
        <w:rPr>
          <w:lang w:val="pl-PL"/>
        </w:rPr>
      </w:pPr>
    </w:p>
    <w:p w14:paraId="2CB30DAC" w14:textId="77777777" w:rsidR="001B165D" w:rsidRDefault="001B165D">
      <w:pPr>
        <w:rPr>
          <w:lang w:val="pl-PL"/>
        </w:rPr>
      </w:pPr>
    </w:p>
    <w:p w14:paraId="6C205799" w14:textId="77777777" w:rsidR="001B165D" w:rsidRDefault="001B165D">
      <w:pPr>
        <w:rPr>
          <w:lang w:val="pl-PL"/>
        </w:rPr>
      </w:pPr>
    </w:p>
    <w:p w14:paraId="2FCD79CD" w14:textId="77777777" w:rsidR="001B165D" w:rsidRDefault="001B165D">
      <w:pPr>
        <w:rPr>
          <w:lang w:val="pl-PL"/>
        </w:rPr>
      </w:pPr>
    </w:p>
    <w:p w14:paraId="11A350A7" w14:textId="77777777" w:rsidR="001B165D" w:rsidRDefault="001B165D" w:rsidP="001B165D">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1B165D" w:rsidRPr="00C60FAC" w14:paraId="26AAAF69" w14:textId="77777777" w:rsidTr="00E50A57">
        <w:trPr>
          <w:trHeight w:hRule="exact" w:val="822"/>
        </w:trPr>
        <w:tc>
          <w:tcPr>
            <w:tcW w:w="1418" w:type="dxa"/>
            <w:shd w:val="pct20" w:color="auto" w:fill="FFFFFF"/>
          </w:tcPr>
          <w:p w14:paraId="4159C1AD" w14:textId="77777777" w:rsidR="001B165D" w:rsidRPr="00C60FAC" w:rsidRDefault="001B165D" w:rsidP="00E50A57">
            <w:pPr>
              <w:rPr>
                <w:rFonts w:ascii="Calibri" w:hAnsi="Calibri" w:cs="Calibri"/>
                <w:sz w:val="20"/>
                <w:szCs w:val="20"/>
              </w:rPr>
            </w:pPr>
            <w:r w:rsidRPr="00C60FAC">
              <w:rPr>
                <w:rFonts w:ascii="Calibri" w:hAnsi="Calibri" w:cs="Calibri"/>
                <w:sz w:val="20"/>
                <w:szCs w:val="20"/>
              </w:rPr>
              <w:t>Tytuł:</w:t>
            </w:r>
          </w:p>
          <w:p w14:paraId="2B67EDBB" w14:textId="77777777" w:rsidR="001B165D" w:rsidRPr="00C60FAC" w:rsidRDefault="001B165D" w:rsidP="00E50A57">
            <w:pPr>
              <w:rPr>
                <w:rFonts w:ascii="Calibri" w:hAnsi="Calibri" w:cs="Calibri"/>
                <w:sz w:val="20"/>
                <w:szCs w:val="20"/>
              </w:rPr>
            </w:pPr>
          </w:p>
        </w:tc>
        <w:tc>
          <w:tcPr>
            <w:tcW w:w="8221" w:type="dxa"/>
            <w:gridSpan w:val="3"/>
          </w:tcPr>
          <w:p w14:paraId="4D17D747"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Leczenie operacyjne raka kory nadnerczy (ACC) w populacji dziecięcej.</w:t>
            </w:r>
          </w:p>
        </w:tc>
      </w:tr>
      <w:tr w:rsidR="001B165D" w:rsidRPr="00C60FAC" w14:paraId="2EE6047B" w14:textId="77777777" w:rsidTr="00E50A57">
        <w:trPr>
          <w:trHeight w:hRule="exact" w:val="639"/>
        </w:trPr>
        <w:tc>
          <w:tcPr>
            <w:tcW w:w="1418" w:type="dxa"/>
            <w:shd w:val="pct20" w:color="auto" w:fill="FFFFFF"/>
          </w:tcPr>
          <w:p w14:paraId="7D182934"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Autorzy: </w:t>
            </w:r>
          </w:p>
        </w:tc>
        <w:tc>
          <w:tcPr>
            <w:tcW w:w="8221" w:type="dxa"/>
            <w:gridSpan w:val="3"/>
          </w:tcPr>
          <w:p w14:paraId="22F1BCD5"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Emilia Kocot, Grzegorz Kowalewski, Marek Stefanowicz, Piotr Kaliciński</w:t>
            </w:r>
          </w:p>
        </w:tc>
      </w:tr>
      <w:tr w:rsidR="001B165D" w:rsidRPr="00C60FAC" w14:paraId="04989C76" w14:textId="77777777" w:rsidTr="00E50A57">
        <w:trPr>
          <w:trHeight w:hRule="exact" w:val="706"/>
        </w:trPr>
        <w:tc>
          <w:tcPr>
            <w:tcW w:w="1418" w:type="dxa"/>
            <w:shd w:val="pct20" w:color="auto" w:fill="FFFFFF"/>
          </w:tcPr>
          <w:p w14:paraId="4946B900"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Ośrodek:</w:t>
            </w:r>
          </w:p>
          <w:p w14:paraId="3934186E"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E-mail:</w:t>
            </w:r>
          </w:p>
        </w:tc>
        <w:tc>
          <w:tcPr>
            <w:tcW w:w="8221" w:type="dxa"/>
            <w:gridSpan w:val="3"/>
          </w:tcPr>
          <w:p w14:paraId="1E9A0F3A"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Klinika Chirurgii Dziecięcej i Transplantacji Narządów, IPCZD</w:t>
            </w:r>
          </w:p>
          <w:p w14:paraId="1746E0B1" w14:textId="77777777" w:rsidR="001B165D" w:rsidRDefault="001B165D" w:rsidP="00E50A57">
            <w:pPr>
              <w:rPr>
                <w:rFonts w:ascii="Calibri" w:hAnsi="Calibri" w:cs="Calibri"/>
                <w:sz w:val="20"/>
                <w:szCs w:val="20"/>
                <w:lang w:val="pl-PL"/>
              </w:rPr>
            </w:pPr>
            <w:hyperlink r:id="rId9" w:history="1">
              <w:r w:rsidRPr="004A7625">
                <w:rPr>
                  <w:rStyle w:val="Hipercze"/>
                  <w:rFonts w:ascii="Calibri" w:hAnsi="Calibri" w:cs="Calibri"/>
                  <w:sz w:val="20"/>
                  <w:szCs w:val="20"/>
                  <w:lang w:val="pl-PL"/>
                </w:rPr>
                <w:t>e.kocot@ipczd.pl</w:t>
              </w:r>
            </w:hyperlink>
          </w:p>
          <w:p w14:paraId="152697C2" w14:textId="77777777" w:rsidR="001B165D" w:rsidRPr="00C60FAC" w:rsidRDefault="001B165D" w:rsidP="00E50A57">
            <w:pPr>
              <w:rPr>
                <w:rFonts w:ascii="Calibri" w:hAnsi="Calibri" w:cs="Calibri"/>
                <w:sz w:val="20"/>
                <w:szCs w:val="20"/>
                <w:lang w:val="pl-PL"/>
              </w:rPr>
            </w:pPr>
          </w:p>
        </w:tc>
      </w:tr>
      <w:tr w:rsidR="001B165D" w:rsidRPr="00C60FAC" w14:paraId="15429F73" w14:textId="77777777" w:rsidTr="00E50A57">
        <w:trPr>
          <w:trHeight w:hRule="exact" w:val="1012"/>
        </w:trPr>
        <w:tc>
          <w:tcPr>
            <w:tcW w:w="1418" w:type="dxa"/>
            <w:shd w:val="pct20" w:color="auto" w:fill="FFFFFF"/>
          </w:tcPr>
          <w:p w14:paraId="6DB70A12"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XXI Sympozjum Interdyscyplinarne </w:t>
            </w:r>
          </w:p>
          <w:p w14:paraId="220A3F04"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6  grudnia 2024</w:t>
            </w:r>
          </w:p>
          <w:p w14:paraId="7E203445" w14:textId="77777777" w:rsidR="001B165D" w:rsidRPr="00C60FAC" w:rsidRDefault="001B165D" w:rsidP="00E50A57">
            <w:pPr>
              <w:tabs>
                <w:tab w:val="left" w:pos="1365"/>
              </w:tabs>
              <w:rPr>
                <w:rFonts w:ascii="Calibri" w:hAnsi="Calibri" w:cs="Calibri"/>
                <w:sz w:val="20"/>
                <w:szCs w:val="20"/>
                <w:lang w:val="pl-PL"/>
              </w:rPr>
            </w:pPr>
            <w:r w:rsidRPr="00C60FAC">
              <w:rPr>
                <w:rFonts w:ascii="Calibri" w:hAnsi="Calibri" w:cs="Calibri"/>
                <w:sz w:val="20"/>
                <w:szCs w:val="20"/>
                <w:lang w:val="pl-PL"/>
              </w:rPr>
              <w:t>doniesienie ustne</w:t>
            </w:r>
          </w:p>
        </w:tc>
        <w:tc>
          <w:tcPr>
            <w:tcW w:w="4394" w:type="dxa"/>
          </w:tcPr>
          <w:p w14:paraId="348247A2" w14:textId="77777777" w:rsidR="001B165D" w:rsidRPr="00C60FAC" w:rsidRDefault="001B165D" w:rsidP="00E50A57">
            <w:pPr>
              <w:rPr>
                <w:rFonts w:ascii="Calibri" w:hAnsi="Calibri" w:cs="Calibri"/>
                <w:sz w:val="20"/>
                <w:szCs w:val="20"/>
                <w:lang w:val="pl-PL"/>
              </w:rPr>
            </w:pPr>
            <w:r>
              <w:rPr>
                <w:rFonts w:ascii="Calibri" w:hAnsi="Calibri" w:cs="Calibri"/>
                <w:sz w:val="20"/>
                <w:szCs w:val="20"/>
                <w:lang w:val="pl-PL"/>
              </w:rPr>
              <w:t>x</w:t>
            </w:r>
          </w:p>
        </w:tc>
        <w:tc>
          <w:tcPr>
            <w:tcW w:w="1701" w:type="dxa"/>
            <w:shd w:val="clear" w:color="auto" w:fill="C0C0C0"/>
          </w:tcPr>
          <w:p w14:paraId="0502E267" w14:textId="77777777" w:rsidR="001B165D" w:rsidRPr="00C60FAC" w:rsidRDefault="001B165D" w:rsidP="00E50A57">
            <w:pPr>
              <w:pStyle w:val="Nagwek2"/>
              <w:jc w:val="left"/>
              <w:rPr>
                <w:rFonts w:ascii="Calibri" w:hAnsi="Calibri" w:cs="Calibri"/>
                <w:b w:val="0"/>
                <w:bCs w:val="0"/>
                <w:sz w:val="20"/>
                <w:szCs w:val="20"/>
                <w:highlight w:val="lightGray"/>
              </w:rPr>
            </w:pPr>
            <w:r w:rsidRPr="00C60FAC">
              <w:rPr>
                <w:rFonts w:ascii="Calibri" w:hAnsi="Calibri" w:cs="Calibri"/>
                <w:b w:val="0"/>
                <w:bCs w:val="0"/>
                <w:sz w:val="20"/>
                <w:szCs w:val="20"/>
                <w:highlight w:val="lightGray"/>
              </w:rPr>
              <w:t xml:space="preserve">XI Konferencja Naukowo-Szkoleniowe </w:t>
            </w:r>
          </w:p>
          <w:p w14:paraId="5AB44702" w14:textId="77777777" w:rsidR="001B165D" w:rsidRPr="00C60FAC" w:rsidRDefault="001B165D" w:rsidP="00E50A57">
            <w:pPr>
              <w:pStyle w:val="Nagwek2"/>
              <w:jc w:val="left"/>
              <w:rPr>
                <w:rFonts w:ascii="Calibri" w:hAnsi="Calibri" w:cs="Calibri"/>
                <w:b w:val="0"/>
                <w:bCs w:val="0"/>
                <w:sz w:val="20"/>
                <w:szCs w:val="20"/>
                <w:highlight w:val="lightGray"/>
              </w:rPr>
            </w:pPr>
            <w:r w:rsidRPr="00C60FAC">
              <w:rPr>
                <w:rFonts w:ascii="Calibri" w:hAnsi="Calibri" w:cs="Calibri"/>
                <w:b w:val="0"/>
                <w:bCs w:val="0"/>
                <w:sz w:val="20"/>
                <w:szCs w:val="20"/>
                <w:highlight w:val="lightGray"/>
              </w:rPr>
              <w:t>7 grudnia 2024</w:t>
            </w:r>
          </w:p>
          <w:p w14:paraId="5114FD67" w14:textId="77777777" w:rsidR="001B165D" w:rsidRPr="00C60FAC" w:rsidRDefault="001B165D" w:rsidP="00E50A57">
            <w:pPr>
              <w:rPr>
                <w:rFonts w:ascii="Calibri" w:hAnsi="Calibri" w:cs="Calibri"/>
                <w:sz w:val="20"/>
                <w:szCs w:val="20"/>
                <w:highlight w:val="lightGray"/>
                <w:lang w:val="pl-PL"/>
              </w:rPr>
            </w:pPr>
            <w:r w:rsidRPr="00C60FAC">
              <w:rPr>
                <w:rFonts w:ascii="Calibri" w:hAnsi="Calibri" w:cs="Calibri"/>
                <w:sz w:val="20"/>
                <w:szCs w:val="20"/>
                <w:highlight w:val="lightGray"/>
                <w:lang w:val="pl-PL"/>
              </w:rPr>
              <w:t>doniesienie ustne</w:t>
            </w:r>
          </w:p>
        </w:tc>
        <w:tc>
          <w:tcPr>
            <w:tcW w:w="2126" w:type="dxa"/>
          </w:tcPr>
          <w:p w14:paraId="2D4A44EA" w14:textId="77777777" w:rsidR="001B165D" w:rsidRPr="00C60FAC" w:rsidRDefault="001B165D" w:rsidP="00E50A57">
            <w:pPr>
              <w:rPr>
                <w:rFonts w:ascii="Calibri" w:hAnsi="Calibri" w:cs="Calibri"/>
                <w:sz w:val="20"/>
                <w:szCs w:val="20"/>
                <w:lang w:val="pl-PL"/>
              </w:rPr>
            </w:pPr>
          </w:p>
        </w:tc>
      </w:tr>
      <w:tr w:rsidR="001B165D" w:rsidRPr="00C60FAC" w14:paraId="44137805" w14:textId="77777777" w:rsidTr="00E50A57">
        <w:trPr>
          <w:trHeight w:hRule="exact" w:val="8365"/>
        </w:trPr>
        <w:tc>
          <w:tcPr>
            <w:tcW w:w="1418" w:type="dxa"/>
            <w:shd w:val="pct20" w:color="auto" w:fill="FFFFFF"/>
          </w:tcPr>
          <w:p w14:paraId="37EBBB78"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Streszczenie:</w:t>
            </w:r>
            <w:r w:rsidRPr="00C60FAC">
              <w:rPr>
                <w:rFonts w:ascii="Calibri" w:hAnsi="Calibri" w:cs="Calibri"/>
                <w:sz w:val="20"/>
                <w:szCs w:val="20"/>
                <w:lang w:val="pl-PL"/>
              </w:rPr>
              <w:br/>
            </w:r>
          </w:p>
        </w:tc>
        <w:tc>
          <w:tcPr>
            <w:tcW w:w="8221" w:type="dxa"/>
            <w:gridSpan w:val="3"/>
          </w:tcPr>
          <w:p w14:paraId="6983C960"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Cel pracy </w:t>
            </w:r>
          </w:p>
          <w:p w14:paraId="7FD15F75"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Rak kory nadnerczy (ACC) jest rzadkim i agresywnym nowotworem wieku dziecięcego. Leczenie operacyjne jest podstawowym sposobem terapii, jednak dane z literatury na temat leczenia ACC są skąpe i ograniczone do małych populacji. W niniejszym badaniu retrospektywnym oceniono wyniki leczenia operacyjnego pacjentów pediatrycznych z rozpoznaniem raka kory nadnerczy w latach 2001-2023 w Klinice Chirurgii Dziecięcej i Transplantacji Narządów, IPCZD.  </w:t>
            </w:r>
          </w:p>
          <w:p w14:paraId="1E4807D0"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 </w:t>
            </w:r>
          </w:p>
          <w:p w14:paraId="4C60773A"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Materiały i metody </w:t>
            </w:r>
          </w:p>
          <w:p w14:paraId="2BCABC8B"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W analizie uwzględniono 15 pacjentów, którzy przeszli leczenie operacyjne z powodu ACC. Oceniono charakterystykę kliniczną, leczenie chirurgiczne, powikłania pooperacyjne oraz długoterminowe wyniki, w tym częstość nawrotów i przeżywalność pacjentów. </w:t>
            </w:r>
          </w:p>
          <w:p w14:paraId="1BAFFD7C"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 </w:t>
            </w:r>
          </w:p>
          <w:p w14:paraId="499C417B"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Wyniki  </w:t>
            </w:r>
          </w:p>
          <w:p w14:paraId="0A88F7CF"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U wszystkich 15 pacjentów rozpoznanie ACC potwierdzono badaniem histopatologicznym. Wszystkie nowotwory były hormonalnie aktywne. Mediana wieku w chwili operacji wynosiła 1,6 roku (od 1 miesiąca życia do 16 roku życia). Dziewięciu z piętnastu pacjentów po leczeniu otrzymało leczenie uzupełniające (chemioterapię i/lub mitotan). U dwóch pacjentów wystąpił nawrót choroby mimo leczenia chirurgicznego i uzupełniającego. Jeden pacjent zmarł pięć miesięcy po operacji z powodu postępu choroby.  </w:t>
            </w:r>
          </w:p>
          <w:p w14:paraId="439777CC"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Wśród prezentowanej grupy, 4 pacjentów zostało zoperowanych laparoskopowo, pozostali poprzez laparotomię. Powikłania chirurgiczne: niedrożność przewodu pokarmowego, ostre zapalenie trzustki i chłonkotok, wystąpiły u trzech pacjentów </w:t>
            </w:r>
          </w:p>
          <w:p w14:paraId="24DB9E69"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Mediana czasu obserwacji wynosi 5,75 lat (od 2 miesięcy do 15 lat). Estymowane 5-letnie przeżycie w naszej grupie pacjentów wynosiło 95%. </w:t>
            </w:r>
          </w:p>
          <w:p w14:paraId="1858D8B2"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 </w:t>
            </w:r>
          </w:p>
          <w:p w14:paraId="237DE122"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Wnioski </w:t>
            </w:r>
          </w:p>
          <w:p w14:paraId="2F329F3B" w14:textId="77777777" w:rsidR="001B165D" w:rsidRPr="00C60FAC" w:rsidRDefault="001B165D" w:rsidP="00E50A57">
            <w:pPr>
              <w:rPr>
                <w:rFonts w:ascii="Calibri" w:hAnsi="Calibri" w:cs="Calibri"/>
                <w:sz w:val="20"/>
                <w:szCs w:val="20"/>
                <w:lang w:val="pl-PL"/>
              </w:rPr>
            </w:pPr>
            <w:r w:rsidRPr="00C60FAC">
              <w:rPr>
                <w:rFonts w:ascii="Calibri" w:hAnsi="Calibri" w:cs="Calibri"/>
                <w:sz w:val="20"/>
                <w:szCs w:val="20"/>
                <w:lang w:val="pl-PL"/>
              </w:rPr>
              <w:t xml:space="preserve">Leczenie operacyjne raka kory nadnerczy dało obiecujące wyniki w populacji naszych pacjentów. Wysoki odsetek przeżyć sugeruje, że leczenie operacyjne jest skuteczną metodą leczenia ACC, jednak możliwość nawrotu choroby i konieczność oceny endokrynologicznej uzasadniają długotrwałą obserwację pacjentów. Laparoskopia może być skutecznym dostępem chirurgicznym w wybranej grupie pacjentów.  </w:t>
            </w:r>
          </w:p>
        </w:tc>
      </w:tr>
    </w:tbl>
    <w:p w14:paraId="39F02CA3" w14:textId="77777777" w:rsidR="001B165D" w:rsidRPr="005C1A71" w:rsidRDefault="001B165D" w:rsidP="001B165D">
      <w:pPr>
        <w:rPr>
          <w:lang w:val="pl-PL"/>
        </w:rPr>
      </w:pPr>
    </w:p>
    <w:p w14:paraId="78C672A1" w14:textId="77777777" w:rsidR="001B165D" w:rsidRDefault="001B165D">
      <w:pPr>
        <w:rPr>
          <w:lang w:val="pl-PL"/>
        </w:rPr>
      </w:pPr>
    </w:p>
    <w:p w14:paraId="4DED345E" w14:textId="77777777" w:rsidR="001B165D" w:rsidRDefault="001B165D">
      <w:pPr>
        <w:rPr>
          <w:lang w:val="pl-PL"/>
        </w:rPr>
      </w:pPr>
    </w:p>
    <w:p w14:paraId="1FFEDB1C" w14:textId="77777777" w:rsidR="001B165D" w:rsidRDefault="001B165D">
      <w:pPr>
        <w:rPr>
          <w:lang w:val="pl-PL"/>
        </w:rPr>
      </w:pPr>
    </w:p>
    <w:p w14:paraId="0F28764D" w14:textId="77777777" w:rsidR="001B165D" w:rsidRDefault="001B165D">
      <w:pPr>
        <w:rPr>
          <w:lang w:val="pl-PL"/>
        </w:rPr>
      </w:pPr>
    </w:p>
    <w:p w14:paraId="67BD9919" w14:textId="77777777" w:rsidR="001B165D" w:rsidRDefault="001B165D" w:rsidP="001B165D">
      <w:pPr>
        <w:pStyle w:val="Nagwek1"/>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gridCol w:w="1701"/>
        <w:gridCol w:w="2126"/>
      </w:tblGrid>
      <w:tr w:rsidR="001B165D" w:rsidRPr="003415AC" w14:paraId="1CAB9924" w14:textId="77777777" w:rsidTr="00E50A57">
        <w:trPr>
          <w:trHeight w:hRule="exact" w:val="822"/>
        </w:trPr>
        <w:tc>
          <w:tcPr>
            <w:tcW w:w="1418" w:type="dxa"/>
            <w:shd w:val="pct20" w:color="auto" w:fill="FFFFFF"/>
          </w:tcPr>
          <w:p w14:paraId="6FA74885" w14:textId="77777777" w:rsidR="001B165D" w:rsidRPr="003415AC" w:rsidRDefault="001B165D" w:rsidP="00E50A57">
            <w:pPr>
              <w:rPr>
                <w:rFonts w:ascii="Calibri" w:hAnsi="Calibri" w:cs="Calibri"/>
                <w:sz w:val="20"/>
                <w:szCs w:val="20"/>
              </w:rPr>
            </w:pPr>
            <w:r w:rsidRPr="003415AC">
              <w:rPr>
                <w:rFonts w:ascii="Calibri" w:hAnsi="Calibri" w:cs="Calibri"/>
                <w:sz w:val="20"/>
                <w:szCs w:val="20"/>
              </w:rPr>
              <w:t>Tytuł:</w:t>
            </w:r>
          </w:p>
          <w:p w14:paraId="7F95FA7E" w14:textId="77777777" w:rsidR="001B165D" w:rsidRPr="003415AC" w:rsidRDefault="001B165D" w:rsidP="00E50A57">
            <w:pPr>
              <w:rPr>
                <w:rFonts w:ascii="Calibri" w:hAnsi="Calibri" w:cs="Calibri"/>
                <w:sz w:val="20"/>
                <w:szCs w:val="20"/>
              </w:rPr>
            </w:pPr>
          </w:p>
        </w:tc>
        <w:tc>
          <w:tcPr>
            <w:tcW w:w="8221" w:type="dxa"/>
            <w:gridSpan w:val="3"/>
          </w:tcPr>
          <w:p w14:paraId="37B7AE6F"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Zastosowanie termoablacji o częstotliwości radiowej w leczeniu łagodnych guzów tarczycy u dzieci – doniesienie wstępne.</w:t>
            </w:r>
          </w:p>
        </w:tc>
      </w:tr>
      <w:tr w:rsidR="001B165D" w:rsidRPr="003415AC" w14:paraId="0BC5E2C6" w14:textId="77777777" w:rsidTr="00E50A57">
        <w:trPr>
          <w:trHeight w:hRule="exact" w:val="639"/>
        </w:trPr>
        <w:tc>
          <w:tcPr>
            <w:tcW w:w="1418" w:type="dxa"/>
            <w:shd w:val="pct20" w:color="auto" w:fill="FFFFFF"/>
          </w:tcPr>
          <w:p w14:paraId="7E1EB21F"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 xml:space="preserve">Autorzy: </w:t>
            </w:r>
          </w:p>
        </w:tc>
        <w:tc>
          <w:tcPr>
            <w:tcW w:w="8221" w:type="dxa"/>
            <w:gridSpan w:val="3"/>
          </w:tcPr>
          <w:p w14:paraId="7AA44A5E"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Dariusz Ponik1, Andrzej Śmigielski1, Marta Pietrzykowaka2, Agnieszka Bogusz-Wójcik3, Łukasz Fus4, Jan Bartuszek2, Magdalena Tarasińska5, Elżbieta Moszczyńska3</w:t>
            </w:r>
          </w:p>
        </w:tc>
      </w:tr>
      <w:tr w:rsidR="001B165D" w:rsidRPr="003415AC" w14:paraId="60C68AA3" w14:textId="77777777" w:rsidTr="00E50A57">
        <w:trPr>
          <w:trHeight w:hRule="exact" w:val="706"/>
        </w:trPr>
        <w:tc>
          <w:tcPr>
            <w:tcW w:w="1418" w:type="dxa"/>
            <w:shd w:val="pct20" w:color="auto" w:fill="FFFFFF"/>
          </w:tcPr>
          <w:p w14:paraId="41998BB0"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Ośrodek:</w:t>
            </w:r>
          </w:p>
          <w:p w14:paraId="3A90BCE6"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E-mail:</w:t>
            </w:r>
          </w:p>
        </w:tc>
        <w:tc>
          <w:tcPr>
            <w:tcW w:w="8221" w:type="dxa"/>
            <w:gridSpan w:val="3"/>
          </w:tcPr>
          <w:p w14:paraId="5DAB94DA" w14:textId="77777777" w:rsidR="001B165D" w:rsidRDefault="001B165D" w:rsidP="00E50A57">
            <w:pPr>
              <w:rPr>
                <w:rFonts w:ascii="Calibri" w:hAnsi="Calibri" w:cs="Calibri"/>
                <w:sz w:val="20"/>
                <w:szCs w:val="20"/>
                <w:lang w:val="pl-PL"/>
              </w:rPr>
            </w:pPr>
            <w:r w:rsidRPr="003415AC">
              <w:rPr>
                <w:rFonts w:ascii="Calibri" w:hAnsi="Calibri" w:cs="Calibri"/>
                <w:sz w:val="20"/>
                <w:szCs w:val="20"/>
                <w:lang w:val="pl-PL"/>
              </w:rPr>
              <w:t xml:space="preserve">1Klinika Chirurgii Dziecięcej i Transplantacji Narządów 2Zakład Diagnostyki Oprazowaj 3Oddział Endokrtnologii 4Zakład Patomorfologii 5Klinika Onkologii Instytut Pomnik-Centrum Zdrowia Dziecka w Warszawie       </w:t>
            </w:r>
            <w:hyperlink r:id="rId10" w:history="1">
              <w:r w:rsidRPr="00373CD4">
                <w:rPr>
                  <w:rStyle w:val="Hipercze"/>
                  <w:rFonts w:ascii="Calibri" w:hAnsi="Calibri" w:cs="Calibri"/>
                  <w:sz w:val="20"/>
                  <w:szCs w:val="20"/>
                  <w:lang w:val="pl-PL"/>
                </w:rPr>
                <w:t>d.polnik@ipczd.pl</w:t>
              </w:r>
            </w:hyperlink>
          </w:p>
          <w:p w14:paraId="1A7A4C1C" w14:textId="77777777" w:rsidR="001B165D" w:rsidRPr="003415AC" w:rsidRDefault="001B165D" w:rsidP="00E50A57">
            <w:pPr>
              <w:rPr>
                <w:rFonts w:ascii="Calibri" w:hAnsi="Calibri" w:cs="Calibri"/>
                <w:sz w:val="20"/>
                <w:szCs w:val="20"/>
                <w:lang w:val="pl-PL"/>
              </w:rPr>
            </w:pPr>
          </w:p>
        </w:tc>
      </w:tr>
      <w:tr w:rsidR="001B165D" w:rsidRPr="003415AC" w14:paraId="42DDB6EE" w14:textId="77777777" w:rsidTr="00E50A57">
        <w:trPr>
          <w:trHeight w:hRule="exact" w:val="728"/>
        </w:trPr>
        <w:tc>
          <w:tcPr>
            <w:tcW w:w="1418" w:type="dxa"/>
            <w:shd w:val="pct20" w:color="auto" w:fill="FFFFFF"/>
          </w:tcPr>
          <w:p w14:paraId="3BC17F75"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 xml:space="preserve">XXI Sympozjum Interdyscyplinarne </w:t>
            </w:r>
          </w:p>
          <w:p w14:paraId="09438918"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6  grudnia 2024</w:t>
            </w:r>
          </w:p>
          <w:p w14:paraId="7EEF0C2C" w14:textId="77777777" w:rsidR="001B165D" w:rsidRPr="003415AC" w:rsidRDefault="001B165D" w:rsidP="00E50A57">
            <w:pPr>
              <w:tabs>
                <w:tab w:val="left" w:pos="1365"/>
              </w:tabs>
              <w:rPr>
                <w:rFonts w:ascii="Calibri" w:hAnsi="Calibri" w:cs="Calibri"/>
                <w:sz w:val="20"/>
                <w:szCs w:val="20"/>
                <w:lang w:val="pl-PL"/>
              </w:rPr>
            </w:pPr>
            <w:r w:rsidRPr="003415AC">
              <w:rPr>
                <w:rFonts w:ascii="Calibri" w:hAnsi="Calibri" w:cs="Calibri"/>
                <w:sz w:val="20"/>
                <w:szCs w:val="20"/>
                <w:lang w:val="pl-PL"/>
              </w:rPr>
              <w:t>doniesienie ustne</w:t>
            </w:r>
          </w:p>
        </w:tc>
        <w:tc>
          <w:tcPr>
            <w:tcW w:w="4394" w:type="dxa"/>
          </w:tcPr>
          <w:p w14:paraId="33B2E580"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X</w:t>
            </w:r>
          </w:p>
        </w:tc>
        <w:tc>
          <w:tcPr>
            <w:tcW w:w="1701" w:type="dxa"/>
            <w:shd w:val="clear" w:color="auto" w:fill="C0C0C0"/>
          </w:tcPr>
          <w:p w14:paraId="711B4088" w14:textId="77777777" w:rsidR="001B165D" w:rsidRPr="003415AC" w:rsidRDefault="001B165D" w:rsidP="00E50A57">
            <w:pPr>
              <w:pStyle w:val="Nagwek2"/>
              <w:jc w:val="left"/>
              <w:rPr>
                <w:rFonts w:ascii="Calibri" w:hAnsi="Calibri" w:cs="Calibri"/>
                <w:b w:val="0"/>
                <w:bCs w:val="0"/>
                <w:sz w:val="20"/>
                <w:szCs w:val="20"/>
                <w:highlight w:val="lightGray"/>
              </w:rPr>
            </w:pPr>
            <w:r w:rsidRPr="003415AC">
              <w:rPr>
                <w:rFonts w:ascii="Calibri" w:hAnsi="Calibri" w:cs="Calibri"/>
                <w:b w:val="0"/>
                <w:bCs w:val="0"/>
                <w:sz w:val="20"/>
                <w:szCs w:val="20"/>
                <w:highlight w:val="lightGray"/>
              </w:rPr>
              <w:t xml:space="preserve">XI Konferencja Naukowo-Szkoleniowe </w:t>
            </w:r>
          </w:p>
          <w:p w14:paraId="3D8783DD" w14:textId="77777777" w:rsidR="001B165D" w:rsidRPr="003415AC" w:rsidRDefault="001B165D" w:rsidP="00E50A57">
            <w:pPr>
              <w:pStyle w:val="Nagwek2"/>
              <w:jc w:val="left"/>
              <w:rPr>
                <w:rFonts w:ascii="Calibri" w:hAnsi="Calibri" w:cs="Calibri"/>
                <w:b w:val="0"/>
                <w:bCs w:val="0"/>
                <w:sz w:val="20"/>
                <w:szCs w:val="20"/>
                <w:highlight w:val="lightGray"/>
              </w:rPr>
            </w:pPr>
            <w:r w:rsidRPr="003415AC">
              <w:rPr>
                <w:rFonts w:ascii="Calibri" w:hAnsi="Calibri" w:cs="Calibri"/>
                <w:b w:val="0"/>
                <w:bCs w:val="0"/>
                <w:sz w:val="20"/>
                <w:szCs w:val="20"/>
                <w:highlight w:val="lightGray"/>
              </w:rPr>
              <w:t>7 grudnia 2024</w:t>
            </w:r>
          </w:p>
          <w:p w14:paraId="12DA82D7" w14:textId="77777777" w:rsidR="001B165D" w:rsidRPr="003415AC" w:rsidRDefault="001B165D" w:rsidP="00E50A57">
            <w:pPr>
              <w:rPr>
                <w:rFonts w:ascii="Calibri" w:hAnsi="Calibri" w:cs="Calibri"/>
                <w:sz w:val="20"/>
                <w:szCs w:val="20"/>
                <w:highlight w:val="lightGray"/>
                <w:lang w:val="pl-PL"/>
              </w:rPr>
            </w:pPr>
            <w:r w:rsidRPr="003415AC">
              <w:rPr>
                <w:rFonts w:ascii="Calibri" w:hAnsi="Calibri" w:cs="Calibri"/>
                <w:sz w:val="20"/>
                <w:szCs w:val="20"/>
                <w:highlight w:val="lightGray"/>
                <w:lang w:val="pl-PL"/>
              </w:rPr>
              <w:t>doniesienie ustne</w:t>
            </w:r>
          </w:p>
        </w:tc>
        <w:tc>
          <w:tcPr>
            <w:tcW w:w="2126" w:type="dxa"/>
          </w:tcPr>
          <w:p w14:paraId="63DA2581" w14:textId="77777777" w:rsidR="001B165D" w:rsidRPr="003415AC" w:rsidRDefault="001B165D" w:rsidP="00E50A57">
            <w:pPr>
              <w:rPr>
                <w:rFonts w:ascii="Calibri" w:hAnsi="Calibri" w:cs="Calibri"/>
                <w:sz w:val="20"/>
                <w:szCs w:val="20"/>
                <w:lang w:val="pl-PL"/>
              </w:rPr>
            </w:pPr>
          </w:p>
        </w:tc>
      </w:tr>
      <w:tr w:rsidR="001B165D" w:rsidRPr="003415AC" w14:paraId="18AD96BB" w14:textId="77777777" w:rsidTr="00E50A57">
        <w:trPr>
          <w:trHeight w:hRule="exact" w:val="7514"/>
        </w:trPr>
        <w:tc>
          <w:tcPr>
            <w:tcW w:w="1418" w:type="dxa"/>
            <w:shd w:val="pct20" w:color="auto" w:fill="FFFFFF"/>
          </w:tcPr>
          <w:p w14:paraId="4EBFA5F9"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Streszczenie:</w:t>
            </w:r>
            <w:r w:rsidRPr="003415AC">
              <w:rPr>
                <w:rFonts w:ascii="Calibri" w:hAnsi="Calibri" w:cs="Calibri"/>
                <w:sz w:val="20"/>
                <w:szCs w:val="20"/>
                <w:lang w:val="pl-PL"/>
              </w:rPr>
              <w:br/>
            </w:r>
          </w:p>
        </w:tc>
        <w:tc>
          <w:tcPr>
            <w:tcW w:w="8221" w:type="dxa"/>
            <w:gridSpan w:val="3"/>
          </w:tcPr>
          <w:p w14:paraId="294F0F4F"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Termoablacja o częstotliwości radiowej ( Radiofrequency Ablation-RFA) jest małoinwazyjną metodą leczenia zmian guzowatych tarczycy, mogącą być alternatywą dla leczenia operacyjnego. RFA pozwala oszczędzić zdrowy miąższ tarczycy, a co za tym idzie zachować jej hormonalną czynność.</w:t>
            </w:r>
          </w:p>
          <w:p w14:paraId="590B18F9"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Cel:</w:t>
            </w:r>
          </w:p>
          <w:p w14:paraId="19C9E90B"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Prezentacja wstępnych doświadczeń z zastosowania termoablacji o częstotliwości radiowej w leczeniu łagodnych guzów tarczycy u dzieci.</w:t>
            </w:r>
          </w:p>
          <w:p w14:paraId="71FE03A4"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Materiał i metoda:</w:t>
            </w:r>
          </w:p>
          <w:p w14:paraId="38DE90B5"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Do zabiegu termoablacji kwalifikowano pacjentów z guzami tarczycy dającymi objawy uciskowe i pacjentów z powiększającymi się guzami tarczyc. Przed kwalifikacją do RFA wykonywano biopsję aspiracyjną cienkoigłową w celu wykluczenia zmian o charakterze złośliwym. Zabieg termoablacji wykonywano w znieczuleniu ogólnym. W trakcie zabiegu w celu potwierdzenia łagodnego charakteru zmiany wykonywano także biopsję gruboigłową guzów. Po zabiegu pacjenci byli hospitalizowany przez jedną dobę i po kontrolnym usg tarczycy wypisywano ich do domu. Kontrolne badania usg tarczycy wykonywano 1, 3 i 6 miesięcy po zabiegu. Pacjenci pozostają także pod opieką Poradni Endokrynologicznej IP-CZD.</w:t>
            </w:r>
          </w:p>
          <w:p w14:paraId="4D623968"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Od października 2023 w Klinice Chirurgii Dziecięcej i Transplantacji Narządów IPCZD wykonano 21 zabiegów termoablacji guzów tarczycy u 21 pacjentów (19 dziewczynek i 2 chłopców w wieku od 10 do 18 lat, mediana 15 lat).</w:t>
            </w:r>
          </w:p>
          <w:p w14:paraId="4C4139D3"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Wyniki:</w:t>
            </w:r>
          </w:p>
          <w:p w14:paraId="7D5434D5"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U wszystkich pacjentów uzyskano subiektywne i obiektywne zmniejszenie zmian w tarczyc.</w:t>
            </w:r>
          </w:p>
          <w:p w14:paraId="227BBFC6"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 xml:space="preserve">Po zabiegu u żadnego pacjenta nie stwierdzono krwiaków, ani objawów nadczynności tarczycy. Powikłania wystąpiły u 2 pacjentów pod postacią przemijającego obrzęku szyi po stronie, po której wykonano RFA oraz chrypki, która ustąpiła po miesiącu od zabiegu u pierwszej pacjentki; u drugiej wystąpił objaw Hornera. </w:t>
            </w:r>
          </w:p>
          <w:p w14:paraId="0078D418"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Wnioski:</w:t>
            </w:r>
          </w:p>
          <w:p w14:paraId="366D42EF" w14:textId="77777777" w:rsidR="001B165D" w:rsidRPr="003415AC" w:rsidRDefault="001B165D" w:rsidP="00E50A57">
            <w:pPr>
              <w:rPr>
                <w:rFonts w:ascii="Calibri" w:hAnsi="Calibri" w:cs="Calibri"/>
                <w:sz w:val="20"/>
                <w:szCs w:val="20"/>
                <w:lang w:val="pl-PL"/>
              </w:rPr>
            </w:pPr>
            <w:r w:rsidRPr="003415AC">
              <w:rPr>
                <w:rFonts w:ascii="Calibri" w:hAnsi="Calibri" w:cs="Calibri"/>
                <w:sz w:val="20"/>
                <w:szCs w:val="20"/>
                <w:lang w:val="pl-PL"/>
              </w:rPr>
              <w:t>Wstępne doświadczenia wskazują, że termoablacja o częstotliwości radiowej jest skuteczną i bezpieczną metodą leczenia łagodnych guzów tarczycy u dzieci.</w:t>
            </w:r>
          </w:p>
        </w:tc>
      </w:tr>
    </w:tbl>
    <w:p w14:paraId="567C42F2" w14:textId="77777777" w:rsidR="001B165D" w:rsidRPr="005C1A71" w:rsidRDefault="001B165D" w:rsidP="001B165D">
      <w:pPr>
        <w:rPr>
          <w:lang w:val="pl-PL"/>
        </w:rPr>
      </w:pPr>
    </w:p>
    <w:p w14:paraId="1E4F1322" w14:textId="77777777" w:rsidR="001B165D" w:rsidRDefault="001B165D">
      <w:pPr>
        <w:rPr>
          <w:lang w:val="pl-PL"/>
        </w:rPr>
      </w:pPr>
    </w:p>
    <w:p w14:paraId="782134E6" w14:textId="77777777" w:rsidR="001B165D" w:rsidRDefault="001B165D">
      <w:pPr>
        <w:rPr>
          <w:lang w:val="pl-PL"/>
        </w:rPr>
      </w:pPr>
    </w:p>
    <w:p w14:paraId="2CF7467B" w14:textId="77777777" w:rsidR="001B165D" w:rsidRDefault="001B165D">
      <w:pPr>
        <w:rPr>
          <w:lang w:val="pl-PL"/>
        </w:rPr>
      </w:pPr>
    </w:p>
    <w:p w14:paraId="255797F4" w14:textId="77777777" w:rsidR="001B165D" w:rsidRDefault="001B165D">
      <w:pPr>
        <w:rPr>
          <w:lang w:val="pl-PL"/>
        </w:rPr>
      </w:pPr>
    </w:p>
    <w:p w14:paraId="2C6D391E" w14:textId="77777777" w:rsidR="001B165D" w:rsidRDefault="001B165D">
      <w:pPr>
        <w:rPr>
          <w:lang w:val="pl-PL"/>
        </w:rPr>
      </w:pPr>
    </w:p>
    <w:p w14:paraId="753506B1" w14:textId="77777777" w:rsidR="001B165D" w:rsidRDefault="001B165D">
      <w:pPr>
        <w:rPr>
          <w:lang w:val="pl-PL"/>
        </w:rPr>
      </w:pPr>
    </w:p>
    <w:p w14:paraId="0E4EA97E" w14:textId="77777777" w:rsidR="001B165D" w:rsidRDefault="001B165D">
      <w:pPr>
        <w:rPr>
          <w:lang w:val="pl-PL"/>
        </w:rPr>
      </w:pPr>
    </w:p>
    <w:p w14:paraId="7AC8FD8B" w14:textId="77777777" w:rsidR="001B165D" w:rsidRDefault="001B165D">
      <w:pPr>
        <w:rPr>
          <w:lang w:val="pl-PL"/>
        </w:rPr>
      </w:pPr>
    </w:p>
    <w:p w14:paraId="0BB3B53C" w14:textId="77777777" w:rsidR="001B165D" w:rsidRDefault="001B165D">
      <w:pPr>
        <w:rPr>
          <w:lang w:val="pl-PL"/>
        </w:rPr>
      </w:pPr>
    </w:p>
    <w:p w14:paraId="2465BDBA" w14:textId="77777777" w:rsidR="001B165D" w:rsidRDefault="001B165D" w:rsidP="001B165D">
      <w:pPr>
        <w:pStyle w:val="Nagwek1"/>
      </w:pPr>
    </w:p>
    <w:tbl>
      <w:tblPr>
        <w:tblW w:w="1049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747"/>
        <w:gridCol w:w="3465"/>
        <w:gridCol w:w="1611"/>
      </w:tblGrid>
      <w:tr w:rsidR="001B165D" w14:paraId="35EB5A4B" w14:textId="77777777" w:rsidTr="00E50A57">
        <w:trPr>
          <w:trHeight w:hRule="exact" w:val="356"/>
        </w:trPr>
        <w:tc>
          <w:tcPr>
            <w:tcW w:w="1668" w:type="dxa"/>
            <w:shd w:val="pct20" w:color="auto" w:fill="FFFFFF"/>
          </w:tcPr>
          <w:p w14:paraId="6E2C4B41" w14:textId="77777777" w:rsidR="001B165D" w:rsidRDefault="001B165D" w:rsidP="00E50A57">
            <w:pPr>
              <w:rPr>
                <w:rFonts w:ascii="Calibri" w:hAnsi="Calibri" w:cs="Calibri"/>
                <w:sz w:val="20"/>
                <w:szCs w:val="20"/>
              </w:rPr>
            </w:pPr>
            <w:r>
              <w:rPr>
                <w:rFonts w:ascii="Calibri" w:hAnsi="Calibri" w:cs="Calibri"/>
                <w:sz w:val="20"/>
                <w:szCs w:val="20"/>
              </w:rPr>
              <w:t>Tytuł:</w:t>
            </w:r>
          </w:p>
          <w:p w14:paraId="344FEFC7" w14:textId="77777777" w:rsidR="001B165D" w:rsidRDefault="001B165D" w:rsidP="00E50A57">
            <w:pPr>
              <w:rPr>
                <w:rFonts w:ascii="Calibri" w:hAnsi="Calibri" w:cs="Calibri"/>
                <w:sz w:val="20"/>
                <w:szCs w:val="20"/>
              </w:rPr>
            </w:pPr>
          </w:p>
        </w:tc>
        <w:tc>
          <w:tcPr>
            <w:tcW w:w="8823" w:type="dxa"/>
            <w:gridSpan w:val="3"/>
          </w:tcPr>
          <w:p w14:paraId="79AE862C" w14:textId="77777777" w:rsidR="001B165D" w:rsidRDefault="001B165D" w:rsidP="00E50A57">
            <w:pPr>
              <w:rPr>
                <w:rFonts w:ascii="Calibri" w:hAnsi="Calibri" w:cs="Calibri"/>
                <w:sz w:val="20"/>
                <w:szCs w:val="20"/>
                <w:u w:val="single"/>
              </w:rPr>
            </w:pPr>
            <w:r>
              <w:rPr>
                <w:rFonts w:ascii="Calibri" w:eastAsia="-webkit-standard" w:hAnsi="Calibri" w:cs="Calibri"/>
                <w:color w:val="000000"/>
                <w:sz w:val="20"/>
                <w:szCs w:val="20"/>
                <w:u w:val="single"/>
                <w:lang w:val="en-US" w:eastAsia="zh-CN" w:bidi="ar"/>
              </w:rPr>
              <w:t>Leczenie skomplikowanych form spodziectwa</w:t>
            </w:r>
          </w:p>
          <w:p w14:paraId="375E40DE" w14:textId="77777777" w:rsidR="001B165D" w:rsidRDefault="001B165D" w:rsidP="00E50A57">
            <w:pPr>
              <w:rPr>
                <w:rFonts w:ascii="Calibri" w:hAnsi="Calibri" w:cs="Calibri"/>
                <w:sz w:val="20"/>
                <w:szCs w:val="20"/>
                <w:lang w:val="uk-UA"/>
              </w:rPr>
            </w:pPr>
            <w:r>
              <w:rPr>
                <w:rFonts w:ascii="Calibri" w:hAnsi="Calibri" w:cs="Calibri"/>
                <w:sz w:val="20"/>
                <w:szCs w:val="20"/>
                <w:lang w:val="uk-UA"/>
              </w:rPr>
              <w:t xml:space="preserve"> </w:t>
            </w:r>
          </w:p>
        </w:tc>
      </w:tr>
      <w:tr w:rsidR="001B165D" w14:paraId="2B71A116" w14:textId="77777777" w:rsidTr="00E50A57">
        <w:trPr>
          <w:trHeight w:hRule="exact" w:val="659"/>
        </w:trPr>
        <w:tc>
          <w:tcPr>
            <w:tcW w:w="1668" w:type="dxa"/>
            <w:shd w:val="pct20" w:color="auto" w:fill="FFFFFF"/>
          </w:tcPr>
          <w:p w14:paraId="20F3BA54" w14:textId="77777777" w:rsidR="001B165D" w:rsidRDefault="001B165D" w:rsidP="00E50A57">
            <w:pPr>
              <w:rPr>
                <w:rFonts w:ascii="Calibri" w:hAnsi="Calibri" w:cs="Calibri"/>
                <w:sz w:val="20"/>
                <w:szCs w:val="20"/>
                <w:lang w:val="pl-PL"/>
              </w:rPr>
            </w:pPr>
            <w:r>
              <w:rPr>
                <w:rFonts w:ascii="Calibri" w:hAnsi="Calibri" w:cs="Calibri"/>
                <w:sz w:val="20"/>
                <w:szCs w:val="20"/>
                <w:lang w:val="pl-PL"/>
              </w:rPr>
              <w:t xml:space="preserve">Autorzy: </w:t>
            </w:r>
          </w:p>
        </w:tc>
        <w:tc>
          <w:tcPr>
            <w:tcW w:w="8823" w:type="dxa"/>
            <w:gridSpan w:val="3"/>
          </w:tcPr>
          <w:p w14:paraId="413FDC24" w14:textId="77777777" w:rsidR="001B165D" w:rsidRDefault="001B165D" w:rsidP="00E50A57">
            <w:pPr>
              <w:pStyle w:val="NormalnyWeb"/>
              <w:rPr>
                <w:rFonts w:ascii="Calibri" w:hAnsi="Calibri" w:cs="Calibri"/>
                <w:color w:val="000000"/>
                <w:sz w:val="20"/>
                <w:szCs w:val="20"/>
                <w:lang w:val="uk-UA"/>
              </w:rPr>
            </w:pPr>
            <w:r>
              <w:rPr>
                <w:rStyle w:val="Pogrubienie"/>
                <w:rFonts w:ascii="Calibri" w:hAnsi="Calibri" w:cs="Calibri"/>
                <w:color w:val="000000"/>
                <w:sz w:val="20"/>
                <w:szCs w:val="20"/>
              </w:rPr>
              <w:t>Poćurko A., Płacko N</w:t>
            </w:r>
            <w:r>
              <w:rPr>
                <w:rStyle w:val="Pogrubienie"/>
                <w:rFonts w:ascii="Calibri" w:hAnsi="Calibri" w:cs="Calibri"/>
                <w:color w:val="000000"/>
                <w:sz w:val="20"/>
                <w:szCs w:val="20"/>
                <w:lang w:val="uk-UA"/>
              </w:rPr>
              <w:t xml:space="preserve">., </w:t>
            </w:r>
            <w:r>
              <w:rPr>
                <w:rStyle w:val="Pogrubienie"/>
                <w:rFonts w:ascii="Calibri" w:hAnsi="Calibri" w:cs="Calibri"/>
                <w:color w:val="000000"/>
                <w:sz w:val="20"/>
                <w:szCs w:val="20"/>
              </w:rPr>
              <w:t>Perejaslow A., Hrymak I., Iwaszkiewicz D.</w:t>
            </w:r>
            <w:r>
              <w:rPr>
                <w:rStyle w:val="Pogrubienie"/>
                <w:rFonts w:ascii="Calibri" w:hAnsi="Calibri" w:cs="Calibri"/>
                <w:color w:val="000000"/>
                <w:sz w:val="20"/>
                <w:szCs w:val="20"/>
                <w:lang w:val="uk-UA"/>
              </w:rPr>
              <w:t>,</w:t>
            </w:r>
            <w:r>
              <w:rPr>
                <w:rStyle w:val="Pogrubienie"/>
                <w:rFonts w:ascii="Calibri" w:hAnsi="Calibri" w:cs="Calibri"/>
                <w:color w:val="000000"/>
                <w:sz w:val="20"/>
                <w:szCs w:val="20"/>
              </w:rPr>
              <w:t xml:space="preserve"> Hyża B., Poćurko R.</w:t>
            </w:r>
            <w:r>
              <w:rPr>
                <w:rStyle w:val="Pogrubienie"/>
                <w:rFonts w:ascii="Calibri" w:hAnsi="Calibri" w:cs="Calibri"/>
                <w:color w:val="000000"/>
                <w:sz w:val="20"/>
                <w:szCs w:val="20"/>
                <w:lang w:val="uk-UA"/>
              </w:rPr>
              <w:t>.</w:t>
            </w:r>
          </w:p>
          <w:p w14:paraId="49ED30B0" w14:textId="77777777" w:rsidR="001B165D" w:rsidRDefault="001B165D" w:rsidP="00E50A57">
            <w:pPr>
              <w:rPr>
                <w:rFonts w:ascii="Calibri" w:hAnsi="Calibri" w:cs="Calibri"/>
                <w:sz w:val="20"/>
                <w:szCs w:val="20"/>
                <w:lang w:val="pl-PL"/>
              </w:rPr>
            </w:pPr>
          </w:p>
        </w:tc>
      </w:tr>
      <w:tr w:rsidR="001B165D" w14:paraId="46DA3AC3" w14:textId="77777777" w:rsidTr="00E50A57">
        <w:trPr>
          <w:trHeight w:hRule="exact" w:val="650"/>
        </w:trPr>
        <w:tc>
          <w:tcPr>
            <w:tcW w:w="1668" w:type="dxa"/>
            <w:shd w:val="pct20" w:color="auto" w:fill="FFFFFF"/>
          </w:tcPr>
          <w:p w14:paraId="413D97F8" w14:textId="77777777" w:rsidR="001B165D" w:rsidRDefault="001B165D" w:rsidP="00E50A57">
            <w:pPr>
              <w:rPr>
                <w:rFonts w:ascii="Calibri" w:hAnsi="Calibri" w:cs="Calibri"/>
                <w:sz w:val="20"/>
                <w:szCs w:val="20"/>
                <w:lang w:val="pl-PL"/>
              </w:rPr>
            </w:pPr>
            <w:r>
              <w:rPr>
                <w:rFonts w:ascii="Calibri" w:hAnsi="Calibri" w:cs="Calibri"/>
                <w:sz w:val="20"/>
                <w:szCs w:val="20"/>
                <w:lang w:val="pl-PL"/>
              </w:rPr>
              <w:t>Ośrodek:</w:t>
            </w:r>
          </w:p>
          <w:p w14:paraId="72FBC9CD" w14:textId="77777777" w:rsidR="001B165D" w:rsidRDefault="001B165D" w:rsidP="00E50A57">
            <w:pPr>
              <w:rPr>
                <w:rFonts w:ascii="Calibri" w:hAnsi="Calibri" w:cs="Calibri"/>
                <w:sz w:val="20"/>
                <w:szCs w:val="20"/>
                <w:lang w:val="pl-PL"/>
              </w:rPr>
            </w:pPr>
            <w:r>
              <w:rPr>
                <w:rFonts w:ascii="Calibri" w:hAnsi="Calibri" w:cs="Calibri"/>
                <w:sz w:val="20"/>
                <w:szCs w:val="20"/>
                <w:lang w:val="pl-PL"/>
              </w:rPr>
              <w:t>E-mail:</w:t>
            </w:r>
          </w:p>
        </w:tc>
        <w:tc>
          <w:tcPr>
            <w:tcW w:w="8823" w:type="dxa"/>
            <w:gridSpan w:val="3"/>
          </w:tcPr>
          <w:p w14:paraId="4079ACF7" w14:textId="77777777" w:rsidR="001B165D" w:rsidRDefault="001B165D" w:rsidP="00E50A57">
            <w:pPr>
              <w:rPr>
                <w:rFonts w:ascii="Calibri" w:hAnsi="Calibri" w:cs="Calibri"/>
                <w:sz w:val="20"/>
                <w:szCs w:val="20"/>
                <w:lang w:val="en-US"/>
              </w:rPr>
            </w:pPr>
            <w:r>
              <w:rPr>
                <w:rFonts w:ascii="Calibri" w:eastAsia="-webkit-standard" w:hAnsi="Calibri" w:cs="Calibri"/>
                <w:color w:val="000000"/>
                <w:sz w:val="20"/>
                <w:szCs w:val="20"/>
                <w:lang w:val="en-US" w:eastAsia="zh-CN" w:bidi="ar"/>
              </w:rPr>
              <w:t xml:space="preserve">KNP LOR Kliniczny Ośrodek Medycyny Dziecięcej, Szpital „OCHMATDYT”, Lwowski Narodowy Uniwersytet Medyczny im. Daniela Halickiego </w:t>
            </w:r>
            <w:hyperlink r:id="rId11" w:history="1">
              <w:r w:rsidRPr="00F203E8">
                <w:rPr>
                  <w:rStyle w:val="Hipercze"/>
                  <w:rFonts w:ascii="Calibri" w:hAnsi="Calibri" w:cs="Calibri"/>
                  <w:sz w:val="20"/>
                  <w:szCs w:val="20"/>
                  <w:lang w:val="en-US"/>
                </w:rPr>
                <w:t>natalya.plyatsk@gmail.com</w:t>
              </w:r>
            </w:hyperlink>
          </w:p>
          <w:p w14:paraId="16ED645D" w14:textId="77777777" w:rsidR="001B165D" w:rsidRDefault="001B165D" w:rsidP="00E50A57">
            <w:pPr>
              <w:rPr>
                <w:rFonts w:ascii="Calibri" w:hAnsi="Calibri" w:cs="Calibri"/>
                <w:sz w:val="20"/>
                <w:szCs w:val="20"/>
                <w:lang w:val="en-US"/>
              </w:rPr>
            </w:pPr>
          </w:p>
          <w:p w14:paraId="2C2FF517" w14:textId="77777777" w:rsidR="001B165D" w:rsidRDefault="001B165D" w:rsidP="00E50A57">
            <w:pPr>
              <w:rPr>
                <w:rFonts w:ascii="Calibri" w:hAnsi="Calibri" w:cs="Calibri"/>
                <w:sz w:val="20"/>
                <w:szCs w:val="20"/>
                <w:lang w:val="pl-PL"/>
              </w:rPr>
            </w:pPr>
          </w:p>
        </w:tc>
      </w:tr>
      <w:tr w:rsidR="001B165D" w14:paraId="2994AE9B" w14:textId="77777777" w:rsidTr="00E50A57">
        <w:trPr>
          <w:trHeight w:hRule="exact" w:val="948"/>
        </w:trPr>
        <w:tc>
          <w:tcPr>
            <w:tcW w:w="1668" w:type="dxa"/>
            <w:shd w:val="pct20" w:color="auto" w:fill="FFFFFF"/>
          </w:tcPr>
          <w:p w14:paraId="3D0D28A7" w14:textId="77777777" w:rsidR="001B165D" w:rsidRDefault="001B165D" w:rsidP="00E50A57">
            <w:pPr>
              <w:rPr>
                <w:rFonts w:ascii="Calibri" w:hAnsi="Calibri" w:cs="Calibri"/>
                <w:sz w:val="20"/>
                <w:szCs w:val="20"/>
                <w:lang w:val="pl-PL"/>
              </w:rPr>
            </w:pPr>
            <w:r>
              <w:rPr>
                <w:rFonts w:ascii="Calibri" w:hAnsi="Calibri" w:cs="Calibri"/>
                <w:sz w:val="20"/>
                <w:szCs w:val="20"/>
                <w:lang w:val="pl-PL"/>
              </w:rPr>
              <w:t>XXI Sympozjum Interdyscyplinarne 6  grudnia 2024</w:t>
            </w:r>
          </w:p>
          <w:p w14:paraId="3CDD5207" w14:textId="77777777" w:rsidR="001B165D" w:rsidRDefault="001B165D" w:rsidP="00E50A57">
            <w:pPr>
              <w:tabs>
                <w:tab w:val="left" w:pos="1365"/>
              </w:tabs>
              <w:rPr>
                <w:rFonts w:ascii="Calibri" w:hAnsi="Calibri" w:cs="Calibri"/>
                <w:sz w:val="20"/>
                <w:szCs w:val="20"/>
                <w:lang w:val="pl-PL"/>
              </w:rPr>
            </w:pPr>
            <w:r>
              <w:rPr>
                <w:rFonts w:ascii="Calibri" w:hAnsi="Calibri" w:cs="Calibri"/>
                <w:sz w:val="20"/>
                <w:szCs w:val="20"/>
                <w:lang w:val="pl-PL"/>
              </w:rPr>
              <w:t>doniesienie ustne</w:t>
            </w:r>
          </w:p>
        </w:tc>
        <w:tc>
          <w:tcPr>
            <w:tcW w:w="3747" w:type="dxa"/>
            <w:shd w:val="clear" w:color="auto" w:fill="auto"/>
          </w:tcPr>
          <w:p w14:paraId="11A0BBB3" w14:textId="77777777" w:rsidR="001B165D" w:rsidRDefault="001B165D" w:rsidP="00E50A57">
            <w:pPr>
              <w:rPr>
                <w:rFonts w:ascii="Calibri" w:hAnsi="Calibri" w:cs="Calibri"/>
                <w:sz w:val="20"/>
                <w:szCs w:val="20"/>
                <w:lang w:val="en-US"/>
              </w:rPr>
            </w:pPr>
          </w:p>
          <w:p w14:paraId="5E4D7DBE" w14:textId="77777777" w:rsidR="001B165D" w:rsidRDefault="001B165D" w:rsidP="00E50A57">
            <w:pPr>
              <w:jc w:val="center"/>
              <w:rPr>
                <w:rFonts w:ascii="Calibri" w:hAnsi="Calibri" w:cs="Calibri"/>
                <w:sz w:val="20"/>
                <w:szCs w:val="20"/>
                <w:lang w:val="en-US"/>
              </w:rPr>
            </w:pPr>
            <w:r>
              <w:rPr>
                <w:rFonts w:ascii="Calibri" w:hAnsi="Calibri" w:cs="Calibri"/>
                <w:sz w:val="20"/>
                <w:szCs w:val="20"/>
                <w:lang w:val="en-US"/>
              </w:rPr>
              <w:t>x</w:t>
            </w:r>
          </w:p>
        </w:tc>
        <w:tc>
          <w:tcPr>
            <w:tcW w:w="3465" w:type="dxa"/>
            <w:shd w:val="clear" w:color="auto" w:fill="C0C0C0"/>
          </w:tcPr>
          <w:p w14:paraId="5DDDD94F" w14:textId="77777777" w:rsidR="001B165D" w:rsidRDefault="001B165D" w:rsidP="00E50A57">
            <w:pPr>
              <w:pStyle w:val="Nagwek2"/>
              <w:jc w:val="left"/>
              <w:rPr>
                <w:rFonts w:ascii="Calibri" w:hAnsi="Calibri" w:cs="Calibri"/>
                <w:b w:val="0"/>
                <w:bCs w:val="0"/>
                <w:sz w:val="20"/>
                <w:szCs w:val="20"/>
                <w:highlight w:val="lightGray"/>
              </w:rPr>
            </w:pPr>
            <w:r>
              <w:rPr>
                <w:rFonts w:ascii="Calibri" w:hAnsi="Calibri" w:cs="Calibri"/>
                <w:b w:val="0"/>
                <w:bCs w:val="0"/>
                <w:sz w:val="20"/>
                <w:szCs w:val="20"/>
                <w:highlight w:val="lightGray"/>
              </w:rPr>
              <w:t>X</w:t>
            </w:r>
            <w:r>
              <w:rPr>
                <w:rFonts w:ascii="Calibri" w:hAnsi="Calibri" w:cs="Calibri"/>
                <w:b w:val="0"/>
                <w:bCs w:val="0"/>
                <w:sz w:val="20"/>
                <w:szCs w:val="20"/>
                <w:highlight w:val="lightGray"/>
                <w:lang w:val="en-US"/>
              </w:rPr>
              <w:t>X</w:t>
            </w:r>
            <w:r>
              <w:rPr>
                <w:rFonts w:ascii="Calibri" w:hAnsi="Calibri" w:cs="Calibri"/>
                <w:b w:val="0"/>
                <w:bCs w:val="0"/>
                <w:sz w:val="20"/>
                <w:szCs w:val="20"/>
                <w:highlight w:val="lightGray"/>
              </w:rPr>
              <w:t xml:space="preserve">I Konferencja Naukowo-Szkoleniowe </w:t>
            </w:r>
          </w:p>
          <w:p w14:paraId="22E68C22" w14:textId="77777777" w:rsidR="001B165D" w:rsidRDefault="001B165D" w:rsidP="00E50A57">
            <w:pPr>
              <w:pStyle w:val="Nagwek2"/>
              <w:jc w:val="left"/>
              <w:rPr>
                <w:rFonts w:ascii="Calibri" w:hAnsi="Calibri" w:cs="Calibri"/>
                <w:b w:val="0"/>
                <w:bCs w:val="0"/>
                <w:sz w:val="20"/>
                <w:szCs w:val="20"/>
                <w:highlight w:val="lightGray"/>
                <w:lang w:val="en-US"/>
              </w:rPr>
            </w:pPr>
            <w:r>
              <w:rPr>
                <w:rFonts w:ascii="Calibri" w:hAnsi="Calibri" w:cs="Calibri"/>
                <w:b w:val="0"/>
                <w:bCs w:val="0"/>
                <w:sz w:val="20"/>
                <w:szCs w:val="20"/>
                <w:highlight w:val="lightGray"/>
              </w:rPr>
              <w:t>7 grudnia 2024</w:t>
            </w:r>
            <w:r>
              <w:rPr>
                <w:rFonts w:ascii="Calibri" w:hAnsi="Calibri" w:cs="Calibri"/>
                <w:b w:val="0"/>
                <w:bCs w:val="0"/>
                <w:sz w:val="20"/>
                <w:szCs w:val="20"/>
                <w:highlight w:val="lightGray"/>
                <w:lang w:val="en-US"/>
              </w:rPr>
              <w:t xml:space="preserve"> raport plakatowy</w:t>
            </w:r>
          </w:p>
        </w:tc>
        <w:tc>
          <w:tcPr>
            <w:tcW w:w="1611" w:type="dxa"/>
          </w:tcPr>
          <w:p w14:paraId="019AC56E" w14:textId="77777777" w:rsidR="001B165D" w:rsidRDefault="001B165D" w:rsidP="00E50A57">
            <w:pPr>
              <w:rPr>
                <w:rFonts w:ascii="Calibri" w:hAnsi="Calibri" w:cs="Calibri"/>
                <w:sz w:val="20"/>
                <w:szCs w:val="20"/>
                <w:lang w:val="pl-PL"/>
              </w:rPr>
            </w:pPr>
          </w:p>
        </w:tc>
      </w:tr>
      <w:tr w:rsidR="001B165D" w14:paraId="76954CCA" w14:textId="77777777" w:rsidTr="00E50A57">
        <w:trPr>
          <w:trHeight w:hRule="exact" w:val="9636"/>
        </w:trPr>
        <w:tc>
          <w:tcPr>
            <w:tcW w:w="1668" w:type="dxa"/>
            <w:shd w:val="pct20" w:color="auto" w:fill="FFFFFF"/>
          </w:tcPr>
          <w:p w14:paraId="47FB3924" w14:textId="77777777" w:rsidR="001B165D" w:rsidRDefault="001B165D" w:rsidP="00E50A57">
            <w:pPr>
              <w:rPr>
                <w:rFonts w:ascii="Calibri" w:hAnsi="Calibri" w:cs="Calibri"/>
                <w:sz w:val="20"/>
                <w:szCs w:val="20"/>
                <w:lang w:val="pl-PL"/>
              </w:rPr>
            </w:pPr>
            <w:r>
              <w:rPr>
                <w:rFonts w:ascii="Calibri" w:hAnsi="Calibri" w:cs="Calibri"/>
                <w:sz w:val="20"/>
                <w:szCs w:val="20"/>
                <w:lang w:val="pl-PL"/>
              </w:rPr>
              <w:t>Streszczenie:</w:t>
            </w:r>
            <w:r>
              <w:rPr>
                <w:rFonts w:ascii="Calibri" w:hAnsi="Calibri" w:cs="Calibri"/>
                <w:sz w:val="20"/>
                <w:szCs w:val="20"/>
                <w:lang w:val="pl-PL"/>
              </w:rPr>
              <w:br/>
            </w:r>
          </w:p>
        </w:tc>
        <w:tc>
          <w:tcPr>
            <w:tcW w:w="8823" w:type="dxa"/>
            <w:gridSpan w:val="3"/>
          </w:tcPr>
          <w:p w14:paraId="0BCBEE57" w14:textId="77777777" w:rsidR="001B165D" w:rsidRDefault="001B165D" w:rsidP="00E50A57">
            <w:pPr>
              <w:pStyle w:val="NormalnyWeb"/>
              <w:jc w:val="both"/>
              <w:rPr>
                <w:rFonts w:ascii="Calibri" w:hAnsi="Calibri" w:cs="Calibri"/>
                <w:color w:val="000000"/>
                <w:sz w:val="20"/>
                <w:szCs w:val="20"/>
              </w:rPr>
            </w:pPr>
            <w:r>
              <w:rPr>
                <w:rStyle w:val="Pogrubienie"/>
                <w:rFonts w:ascii="Calibri" w:hAnsi="Calibri" w:cs="Calibri"/>
                <w:color w:val="000000"/>
                <w:sz w:val="20"/>
                <w:szCs w:val="20"/>
              </w:rPr>
              <w:t>Wstęp</w:t>
            </w:r>
            <w:r>
              <w:rPr>
                <w:rStyle w:val="Pogrubienie"/>
                <w:rFonts w:ascii="Calibri" w:hAnsi="Calibri" w:cs="Calibri"/>
                <w:color w:val="000000"/>
                <w:sz w:val="20"/>
                <w:szCs w:val="20"/>
                <w:lang w:val="uk-UA"/>
              </w:rPr>
              <w:t xml:space="preserve">: </w:t>
            </w:r>
            <w:r>
              <w:rPr>
                <w:rFonts w:ascii="Calibri" w:hAnsi="Calibri" w:cs="Calibri"/>
                <w:color w:val="000000"/>
                <w:sz w:val="20"/>
                <w:szCs w:val="20"/>
              </w:rPr>
              <w:t xml:space="preserve">Spodziectwo to jedna z najczęstszych i trudnych do leczenia wad rozwojowych układu moczowo-płciowego, wymagająca skomplikowanych operacji rekonstrukcyjnych. Powikłania pooperacyjne, takie jak przetoki moczowe, deformacja prącia, defekty kosmetyczne, zwężenie neouretry, divertikule i przewlekłe zapalenia cewki moczowej, zależą w dużej mierze od doświadczenia kliniki. Kolejne operacje wiążą się z ryzykiem tworzenia blizn, niedokrwienia tkanek i przewlekłych infekcji. </w:t>
            </w:r>
            <w:r>
              <w:rPr>
                <w:rStyle w:val="Pogrubienie"/>
                <w:rFonts w:ascii="Calibri" w:hAnsi="Calibri" w:cs="Calibri"/>
                <w:color w:val="000000"/>
                <w:sz w:val="20"/>
                <w:szCs w:val="20"/>
              </w:rPr>
              <w:t>Cel badania</w:t>
            </w:r>
            <w:r>
              <w:rPr>
                <w:rStyle w:val="Pogrubienie"/>
                <w:rFonts w:ascii="Calibri" w:hAnsi="Calibri" w:cs="Calibri"/>
                <w:color w:val="000000"/>
                <w:sz w:val="20"/>
                <w:szCs w:val="20"/>
                <w:lang w:val="uk-UA"/>
              </w:rPr>
              <w:t xml:space="preserve">: </w:t>
            </w:r>
            <w:r>
              <w:rPr>
                <w:rFonts w:ascii="Calibri" w:hAnsi="Calibri" w:cs="Calibri"/>
                <w:color w:val="000000"/>
                <w:sz w:val="20"/>
                <w:szCs w:val="20"/>
              </w:rPr>
              <w:t xml:space="preserve">Analiza wyników chirurgicznego leczenia skomplikowanych form spodziectwa oraz poszukiwanie skutecznych podejść do powtórnej korekcji, zależnie od trudności komplikacji. </w:t>
            </w:r>
            <w:r>
              <w:rPr>
                <w:rStyle w:val="Pogrubienie"/>
                <w:rFonts w:ascii="Calibri" w:hAnsi="Calibri" w:cs="Calibri"/>
                <w:color w:val="000000"/>
                <w:sz w:val="20"/>
                <w:szCs w:val="20"/>
              </w:rPr>
              <w:t>Materiały i metody</w:t>
            </w:r>
            <w:r>
              <w:rPr>
                <w:rStyle w:val="Pogrubienie"/>
                <w:rFonts w:ascii="Calibri" w:hAnsi="Calibri" w:cs="Calibri"/>
                <w:color w:val="000000"/>
                <w:sz w:val="20"/>
                <w:szCs w:val="20"/>
                <w:lang w:val="uk-UA"/>
              </w:rPr>
              <w:t xml:space="preserve">: </w:t>
            </w:r>
            <w:r>
              <w:rPr>
                <w:rFonts w:ascii="Calibri" w:hAnsi="Calibri" w:cs="Calibri"/>
                <w:color w:val="000000"/>
                <w:sz w:val="20"/>
                <w:szCs w:val="20"/>
              </w:rPr>
              <w:t xml:space="preserve">W latach 2022-2024 do naszej kliniki zgłosiło się 25 dzieci (w wieku 2-18 lat), które przeszły nieudane operacje spodziectwa. U 13 dzieci przeprowadzono kolejne operacje, a 12 przygotowuje się do dalszych korekcji. Większość pacjentów miała spodziectwo </w:t>
            </w:r>
            <w:r>
              <w:rPr>
                <w:rStyle w:val="s1"/>
                <w:rFonts w:ascii="Calibri" w:hAnsi="Calibri" w:cs="Calibri"/>
                <w:sz w:val="20"/>
                <w:szCs w:val="20"/>
              </w:rPr>
              <w:t>żołędziowe, prąciowe, lub kroczow</w:t>
            </w:r>
          </w:p>
          <w:p w14:paraId="298329B8" w14:textId="77777777" w:rsidR="001B165D" w:rsidRDefault="001B165D" w:rsidP="00E50A57">
            <w:pPr>
              <w:pStyle w:val="NormalnyWeb"/>
              <w:jc w:val="both"/>
              <w:rPr>
                <w:rFonts w:ascii="Calibri" w:hAnsi="Calibri" w:cs="Calibri"/>
                <w:color w:val="000000"/>
                <w:sz w:val="20"/>
                <w:szCs w:val="20"/>
              </w:rPr>
            </w:pPr>
            <w:r>
              <w:rPr>
                <w:rStyle w:val="Pogrubienie"/>
                <w:rFonts w:ascii="Calibri" w:hAnsi="Calibri" w:cs="Calibri"/>
                <w:color w:val="000000"/>
                <w:sz w:val="20"/>
                <w:szCs w:val="20"/>
              </w:rPr>
              <w:t>Wyniki</w:t>
            </w:r>
            <w:r>
              <w:rPr>
                <w:rStyle w:val="Pogrubienie"/>
                <w:rFonts w:ascii="Calibri" w:hAnsi="Calibri" w:cs="Calibri"/>
                <w:color w:val="000000"/>
                <w:sz w:val="20"/>
                <w:szCs w:val="20"/>
                <w:lang w:val="uk-UA"/>
              </w:rPr>
              <w:t xml:space="preserve">: </w:t>
            </w:r>
            <w:r>
              <w:rPr>
                <w:rFonts w:ascii="Calibri" w:hAnsi="Calibri" w:cs="Calibri"/>
                <w:color w:val="000000"/>
                <w:sz w:val="20"/>
                <w:szCs w:val="20"/>
              </w:rPr>
              <w:t>Powikłania po poprzednich operacjach obejmowały nawrót choroby, deformację prącia, przetoki, trudności w oddawaniu moczu i zapalenie cewki. U części dzieci wystąpiły także problemy psychiczne. Wybór metody korekcji zależał od liczby przetok, deformacji prącia, obecności divertikuli i stanu blizn.</w:t>
            </w:r>
          </w:p>
          <w:p w14:paraId="27E42E78" w14:textId="77777777" w:rsidR="001B165D" w:rsidRDefault="001B165D" w:rsidP="00E50A57">
            <w:pPr>
              <w:pStyle w:val="NormalnyWeb"/>
              <w:jc w:val="both"/>
              <w:rPr>
                <w:rFonts w:ascii="Calibri" w:hAnsi="Calibri" w:cs="Calibri"/>
                <w:color w:val="000000"/>
                <w:sz w:val="20"/>
                <w:szCs w:val="20"/>
              </w:rPr>
            </w:pPr>
            <w:r>
              <w:rPr>
                <w:rStyle w:val="Pogrubienie"/>
                <w:rFonts w:ascii="Calibri" w:hAnsi="Calibri" w:cs="Calibri"/>
                <w:color w:val="000000"/>
                <w:sz w:val="20"/>
                <w:szCs w:val="20"/>
              </w:rPr>
              <w:t>Leczenie</w:t>
            </w:r>
            <w:r>
              <w:rPr>
                <w:rStyle w:val="Pogrubienie"/>
                <w:rFonts w:ascii="Calibri" w:hAnsi="Calibri" w:cs="Calibri"/>
                <w:color w:val="000000"/>
                <w:sz w:val="20"/>
                <w:szCs w:val="20"/>
                <w:lang w:val="uk-UA"/>
              </w:rPr>
              <w:t xml:space="preserve">: </w:t>
            </w:r>
            <w:r>
              <w:rPr>
                <w:rFonts w:ascii="Calibri" w:hAnsi="Calibri" w:cs="Calibri"/>
                <w:color w:val="000000"/>
                <w:sz w:val="20"/>
                <w:szCs w:val="20"/>
              </w:rPr>
              <w:t>W rezultacie udało się skorygować powikłania u 12 dzieci w jednym etapie operacyjnym.Przed wykonaniem chirurgicznej korekcji wady, każde dziecko przeszło kompleksowe badania i otrzymało jednolitą przygotowanie przedoperacyjne.Bardzo ważnym elementem przygotowania takich dzieci jest miejscowe przygotowanie skóry prącia i napletka. Niektóre dzieci wymagały dłuższego przygotowania, zwłaszcza w przypadkach wyraźnej hipoplazji tkanek prącia oraz licznych pooperacyjnych zniekształcających blizn. W takich przypadkach przeprowadziliśmy miejscową terapię hormonalną (maść testosteronowa) w kursach. Niektórzy pacjenci wymagali systemowej terapii hormonalnej gonadotropiną łożyskową w związku z oznakami hipogonadyzmu i obecnej patologii jąder.U 12 dzieci udało się skorygować powikłania pooperacyjne i nawroty w jednym etapie.Izolowane zamknięcie przetok moczowych wykonano u 3 pacjentów. Cewnikowanie pęcherza moczowego nie było przeprowadzane w celu zapobiegania możliwemu zapaleniu cewki moczowej i nawrotowi przetoki. Resekcja dalszej części cewki moczowej z licznymi przetokami i mobilizacja bezprzetokowej neouretry z tworzeniem ujścia na szczycie główki prącia wykonano u dwóch dzieci. Deriwacja moczu zapewniana była długotrwałym cewnikowaniem pęcherza moczowego. Najczęściej (7 dzieci) wykonano uretroplastykę metodą W. Snodgrass (w modyfikacji "Snodgraft") z usunięciem przetok moczowych i plastyką skóry. Wyodrębniliśmy tzw. "krótkiego" Snodgrafta, gdy długość przeszczepu z wewnętrznej warstwy napletka nie przekraczała 2 cm, i "długiego" - gdy była większa niż 2 cm (czasami 4-6 cm). "Krótki" Snodgraft wykonano u 5 chłopców, "długi" - u 2. Cewnik usuwano w 9-11 dniu po korekcji. Jednemu pacjentowi przeprowadzono meatomię zewnętrznego ujścia neouretry z powodu wyraźnego zwężenia, obecności divertikula i trudności w oddawaniu moczu, jako pierwszy etap przygotowawczy do dalszej korekcji. Pozytywny wynik po chirurgicznej korekcji uzyskano u wszystkich dzieci.</w:t>
            </w:r>
          </w:p>
          <w:p w14:paraId="77D77507" w14:textId="77777777" w:rsidR="001B165D" w:rsidRDefault="001B165D" w:rsidP="00E50A57">
            <w:pPr>
              <w:pStyle w:val="NormalnyWeb"/>
              <w:jc w:val="both"/>
              <w:rPr>
                <w:rFonts w:ascii="Calibri" w:hAnsi="Calibri" w:cs="Calibri"/>
                <w:color w:val="000000"/>
                <w:sz w:val="20"/>
                <w:szCs w:val="20"/>
              </w:rPr>
            </w:pPr>
            <w:r>
              <w:rPr>
                <w:rStyle w:val="Pogrubienie"/>
                <w:rFonts w:ascii="Calibri" w:hAnsi="Calibri" w:cs="Calibri"/>
                <w:color w:val="000000"/>
                <w:sz w:val="20"/>
                <w:szCs w:val="20"/>
              </w:rPr>
              <w:t>Wnioski</w:t>
            </w:r>
            <w:r>
              <w:rPr>
                <w:rStyle w:val="Pogrubienie"/>
                <w:rFonts w:ascii="Calibri" w:hAnsi="Calibri" w:cs="Calibri"/>
                <w:color w:val="000000"/>
                <w:sz w:val="20"/>
                <w:szCs w:val="20"/>
                <w:lang w:val="uk-UA"/>
              </w:rPr>
              <w:t xml:space="preserve">: </w:t>
            </w:r>
            <w:r>
              <w:rPr>
                <w:rFonts w:ascii="Calibri" w:hAnsi="Calibri" w:cs="Calibri"/>
                <w:color w:val="000000"/>
                <w:sz w:val="20"/>
                <w:szCs w:val="20"/>
              </w:rPr>
              <w:t>Korekcja skomplikowanych form spodziectwa jest wymagającym zadaniem, które powinno być przeprowadzane tylko w wyspecjalizowanych ośrodkach. Należy pamiętać, że poprawa funkcji i wyglądu prącia ma kluczowe znaczenie dla jakości życia pacjentów.</w:t>
            </w:r>
          </w:p>
          <w:p w14:paraId="1FB179AB" w14:textId="77777777" w:rsidR="001B165D" w:rsidRDefault="001B165D" w:rsidP="00E50A57">
            <w:pPr>
              <w:rPr>
                <w:rFonts w:ascii="Calibri" w:hAnsi="Calibri" w:cs="Calibri"/>
                <w:sz w:val="20"/>
                <w:szCs w:val="20"/>
                <w:lang w:val="pl-PL"/>
              </w:rPr>
            </w:pPr>
          </w:p>
        </w:tc>
      </w:tr>
    </w:tbl>
    <w:p w14:paraId="58AFE003" w14:textId="77777777" w:rsidR="001B165D" w:rsidRDefault="001B165D" w:rsidP="001B165D">
      <w:pPr>
        <w:rPr>
          <w:rFonts w:ascii="Calibri" w:hAnsi="Calibri" w:cs="Calibri"/>
          <w:sz w:val="20"/>
          <w:szCs w:val="20"/>
          <w:lang w:val="pl-PL"/>
        </w:rPr>
      </w:pPr>
    </w:p>
    <w:p w14:paraId="083C7C77" w14:textId="77777777" w:rsidR="001B165D" w:rsidRPr="005C1A71" w:rsidRDefault="001B165D">
      <w:pPr>
        <w:rPr>
          <w:lang w:val="pl-PL"/>
        </w:rPr>
      </w:pPr>
      <w:bookmarkStart w:id="3" w:name="_GoBack"/>
      <w:bookmarkEnd w:id="3"/>
    </w:p>
    <w:sectPr w:rsidR="001B165D" w:rsidRPr="005C1A7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7F574" w14:textId="77777777" w:rsidR="0063747F" w:rsidRDefault="0063747F">
      <w:r>
        <w:separator/>
      </w:r>
    </w:p>
  </w:endnote>
  <w:endnote w:type="continuationSeparator" w:id="0">
    <w:p w14:paraId="10206C85" w14:textId="77777777" w:rsidR="0063747F" w:rsidRDefault="0063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ebkit-standard">
    <w:altName w:val="苹方-简"/>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51D6E" w14:textId="77777777" w:rsidR="0055578C" w:rsidRDefault="005557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8448C" w14:textId="77777777" w:rsidR="00A052AB" w:rsidRDefault="00A052AB" w:rsidP="00A052AB">
    <w:pPr>
      <w:pStyle w:val="Stopka"/>
      <w:jc w:val="center"/>
      <w:rPr>
        <w:b/>
        <w:bCs/>
        <w:sz w:val="20"/>
        <w:lang w:val="pl-PL"/>
      </w:rPr>
    </w:pPr>
  </w:p>
  <w:p w14:paraId="43CA8F38" w14:textId="77777777" w:rsidR="002C56EA" w:rsidRPr="00DC4829" w:rsidRDefault="002C56EA" w:rsidP="002C56EA">
    <w:pPr>
      <w:pStyle w:val="Stopka"/>
      <w:jc w:val="center"/>
      <w:rPr>
        <w:b/>
        <w:bCs/>
        <w:sz w:val="18"/>
        <w:lang w:val="pl-PL"/>
      </w:rPr>
    </w:pPr>
    <w:r w:rsidRPr="00DC4829">
      <w:rPr>
        <w:b/>
        <w:bCs/>
        <w:sz w:val="18"/>
        <w:lang w:val="pl-PL"/>
      </w:rPr>
      <w:t>Streszczenia prac</w:t>
    </w:r>
    <w:r w:rsidR="003F7795" w:rsidRPr="00DC4829">
      <w:rPr>
        <w:b/>
        <w:bCs/>
        <w:sz w:val="18"/>
        <w:lang w:val="pl-PL"/>
      </w:rPr>
      <w:t>y</w:t>
    </w:r>
    <w:r w:rsidRPr="00DC4829">
      <w:rPr>
        <w:b/>
        <w:bCs/>
        <w:sz w:val="18"/>
        <w:lang w:val="pl-PL"/>
      </w:rPr>
      <w:t xml:space="preserve"> należy zgłaszać </w:t>
    </w:r>
  </w:p>
  <w:p w14:paraId="4CE52173" w14:textId="3071A8CD" w:rsidR="00002DE8" w:rsidRPr="00DC4829" w:rsidRDefault="003F7795" w:rsidP="002C56EA">
    <w:pPr>
      <w:pStyle w:val="Stopka"/>
      <w:jc w:val="center"/>
      <w:rPr>
        <w:b/>
        <w:bCs/>
        <w:sz w:val="18"/>
        <w:lang w:val="pl-PL"/>
      </w:rPr>
    </w:pPr>
    <w:r w:rsidRPr="00DC4829">
      <w:rPr>
        <w:b/>
        <w:bCs/>
        <w:sz w:val="18"/>
        <w:lang w:val="pl-PL"/>
      </w:rPr>
      <w:t>d</w:t>
    </w:r>
    <w:r w:rsidR="002C56EA" w:rsidRPr="00DC4829">
      <w:rPr>
        <w:b/>
        <w:bCs/>
        <w:sz w:val="18"/>
        <w:lang w:val="pl-PL"/>
      </w:rPr>
      <w:t>o</w:t>
    </w:r>
    <w:r w:rsidRPr="00DC4829">
      <w:rPr>
        <w:b/>
        <w:bCs/>
        <w:sz w:val="18"/>
        <w:lang w:val="pl-PL"/>
      </w:rPr>
      <w:t xml:space="preserve"> dnia </w:t>
    </w:r>
    <w:r w:rsidR="00904769" w:rsidRPr="00DC4829">
      <w:rPr>
        <w:b/>
        <w:bCs/>
        <w:sz w:val="18"/>
        <w:lang w:val="pl-PL"/>
      </w:rPr>
      <w:t xml:space="preserve"> </w:t>
    </w:r>
    <w:r w:rsidR="005142DC" w:rsidRPr="00DC4829">
      <w:rPr>
        <w:b/>
        <w:bCs/>
        <w:sz w:val="18"/>
        <w:lang w:val="pl-PL"/>
      </w:rPr>
      <w:t>1</w:t>
    </w:r>
    <w:r w:rsidR="007728A0">
      <w:rPr>
        <w:b/>
        <w:bCs/>
        <w:sz w:val="18"/>
        <w:lang w:val="pl-PL"/>
      </w:rPr>
      <w:t>6</w:t>
    </w:r>
    <w:r w:rsidR="00904769" w:rsidRPr="00DC4829">
      <w:rPr>
        <w:b/>
        <w:bCs/>
        <w:sz w:val="18"/>
        <w:lang w:val="pl-PL"/>
      </w:rPr>
      <w:t>.1</w:t>
    </w:r>
    <w:r w:rsidR="00913501" w:rsidRPr="00DC4829">
      <w:rPr>
        <w:b/>
        <w:bCs/>
        <w:sz w:val="18"/>
        <w:lang w:val="pl-PL"/>
      </w:rPr>
      <w:t>1</w:t>
    </w:r>
    <w:r w:rsidR="00904769" w:rsidRPr="00DC4829">
      <w:rPr>
        <w:b/>
        <w:bCs/>
        <w:sz w:val="18"/>
        <w:lang w:val="pl-PL"/>
      </w:rPr>
      <w:t>.20</w:t>
    </w:r>
    <w:r w:rsidR="008D0079">
      <w:rPr>
        <w:b/>
        <w:bCs/>
        <w:sz w:val="18"/>
        <w:lang w:val="pl-PL"/>
      </w:rPr>
      <w:t>2</w:t>
    </w:r>
    <w:r w:rsidR="00DD5DB7">
      <w:rPr>
        <w:b/>
        <w:bCs/>
        <w:sz w:val="18"/>
        <w:lang w:val="pl-PL"/>
      </w:rPr>
      <w:t>4</w:t>
    </w:r>
    <w:r w:rsidR="002C56EA" w:rsidRPr="00DC4829">
      <w:rPr>
        <w:b/>
        <w:bCs/>
        <w:sz w:val="18"/>
        <w:lang w:val="pl-PL"/>
      </w:rPr>
      <w:t xml:space="preserve"> na adres e-mail: </w:t>
    </w:r>
    <w:hyperlink r:id="rId1" w:history="1">
      <w:r w:rsidR="006F5F4F" w:rsidRPr="00DC4829">
        <w:rPr>
          <w:rStyle w:val="Hipercze"/>
          <w:b/>
          <w:bCs/>
          <w:sz w:val="18"/>
          <w:lang w:val="pl-PL"/>
        </w:rPr>
        <w:t>p.kalicinski@ipczd.pl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C95D7" w14:textId="77777777" w:rsidR="0055578C" w:rsidRDefault="005557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10B70" w14:textId="77777777" w:rsidR="0063747F" w:rsidRDefault="0063747F">
      <w:r>
        <w:separator/>
      </w:r>
    </w:p>
  </w:footnote>
  <w:footnote w:type="continuationSeparator" w:id="0">
    <w:p w14:paraId="2BABC5BA" w14:textId="77777777" w:rsidR="0063747F" w:rsidRDefault="00637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EBB1" w14:textId="77777777" w:rsidR="0055578C" w:rsidRDefault="0055578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803BF" w14:textId="2C8AF55F" w:rsidR="00060866" w:rsidRDefault="00DA48C2" w:rsidP="000A2451">
    <w:pPr>
      <w:jc w:val="center"/>
      <w:rPr>
        <w:rFonts w:ascii="Calibri" w:hAnsi="Calibri" w:cs="Arial"/>
        <w:sz w:val="20"/>
        <w:szCs w:val="20"/>
      </w:rPr>
    </w:pPr>
    <w:r w:rsidRPr="008A7C2F">
      <w:rPr>
        <w:rFonts w:ascii="Calibri" w:hAnsi="Calibri" w:cs="Arial"/>
        <w:caps/>
        <w:sz w:val="20"/>
        <w:szCs w:val="20"/>
      </w:rPr>
      <w:t>X</w:t>
    </w:r>
    <w:r w:rsidR="00A433EC">
      <w:rPr>
        <w:rFonts w:ascii="Calibri" w:hAnsi="Calibri" w:cs="Arial"/>
        <w:iCs/>
        <w:caps/>
        <w:sz w:val="20"/>
        <w:szCs w:val="20"/>
      </w:rPr>
      <w:t>X</w:t>
    </w:r>
    <w:r w:rsidR="00B80672">
      <w:rPr>
        <w:rFonts w:ascii="Calibri" w:hAnsi="Calibri" w:cs="Arial"/>
        <w:iCs/>
        <w:caps/>
        <w:sz w:val="20"/>
        <w:szCs w:val="20"/>
      </w:rPr>
      <w:t>I</w:t>
    </w:r>
    <w:r w:rsidRPr="008A7C2F">
      <w:rPr>
        <w:rFonts w:ascii="Calibri" w:hAnsi="Calibri" w:cs="Arial"/>
        <w:iCs/>
        <w:caps/>
        <w:sz w:val="20"/>
        <w:szCs w:val="20"/>
      </w:rPr>
      <w:t xml:space="preserve"> </w:t>
    </w:r>
    <w:r w:rsidR="007728A0">
      <w:rPr>
        <w:rFonts w:ascii="Calibri" w:hAnsi="Calibri" w:cs="Arial"/>
        <w:iCs/>
        <w:caps/>
        <w:sz w:val="20"/>
        <w:szCs w:val="20"/>
      </w:rPr>
      <w:t xml:space="preserve"> </w:t>
    </w:r>
    <w:r w:rsidRPr="008A7C2F">
      <w:rPr>
        <w:rFonts w:ascii="Calibri" w:hAnsi="Calibri" w:cs="Arial"/>
        <w:iCs/>
        <w:caps/>
        <w:sz w:val="20"/>
        <w:szCs w:val="20"/>
      </w:rPr>
      <w:t xml:space="preserve">Sympozjum </w:t>
    </w:r>
    <w:r w:rsidR="00060866">
      <w:rPr>
        <w:rFonts w:ascii="Calibri" w:hAnsi="Calibri" w:cs="Arial"/>
        <w:iCs/>
        <w:caps/>
        <w:sz w:val="20"/>
        <w:szCs w:val="20"/>
      </w:rPr>
      <w:t>“</w:t>
    </w:r>
    <w:r w:rsidR="009C2C8F">
      <w:rPr>
        <w:rFonts w:ascii="Calibri" w:hAnsi="Calibri" w:cs="Arial"/>
        <w:caps/>
        <w:sz w:val="20"/>
        <w:szCs w:val="20"/>
      </w:rPr>
      <w:t xml:space="preserve">INTERDYSCYPLINARNE </w:t>
    </w:r>
    <w:r w:rsidRPr="008A7C2F">
      <w:rPr>
        <w:rFonts w:ascii="Calibri" w:hAnsi="Calibri" w:cs="Arial"/>
        <w:caps/>
        <w:sz w:val="20"/>
        <w:szCs w:val="20"/>
      </w:rPr>
      <w:t>PROBLEMY CHIRURGII DZIECIĘCEJ</w:t>
    </w:r>
    <w:r w:rsidR="00060866">
      <w:rPr>
        <w:rFonts w:ascii="Calibri" w:hAnsi="Calibri" w:cs="Arial"/>
        <w:sz w:val="20"/>
        <w:szCs w:val="20"/>
      </w:rPr>
      <w:t>” i</w:t>
    </w:r>
  </w:p>
  <w:p w14:paraId="0154830B" w14:textId="1675B83C" w:rsidR="00DC4829" w:rsidRPr="008A7C2F" w:rsidRDefault="00DA48C2" w:rsidP="000A2451">
    <w:pPr>
      <w:jc w:val="center"/>
      <w:rPr>
        <w:rFonts w:ascii="Calibri" w:hAnsi="Calibri" w:cs="Arial"/>
        <w:bCs/>
        <w:caps/>
        <w:sz w:val="20"/>
        <w:szCs w:val="20"/>
      </w:rPr>
    </w:pPr>
    <w:r w:rsidRPr="008A7C2F">
      <w:rPr>
        <w:rFonts w:ascii="Calibri" w:hAnsi="Calibri" w:cs="Arial"/>
        <w:iCs/>
        <w:sz w:val="20"/>
        <w:szCs w:val="20"/>
      </w:rPr>
      <w:t xml:space="preserve"> </w:t>
    </w:r>
    <w:r w:rsidR="00B80672">
      <w:rPr>
        <w:rFonts w:ascii="Calibri" w:hAnsi="Calibri" w:cs="Arial"/>
        <w:iCs/>
        <w:sz w:val="20"/>
        <w:szCs w:val="20"/>
      </w:rPr>
      <w:t>XI</w:t>
    </w:r>
    <w:r w:rsidRPr="008A7C2F">
      <w:rPr>
        <w:rFonts w:ascii="Calibri" w:hAnsi="Calibri"/>
        <w:sz w:val="20"/>
        <w:szCs w:val="20"/>
        <w:lang w:eastAsia="pl-PL"/>
      </w:rPr>
      <w:t xml:space="preserve"> </w:t>
    </w:r>
    <w:r w:rsidR="000A2451">
      <w:rPr>
        <w:rFonts w:ascii="Calibri" w:hAnsi="Calibri"/>
        <w:sz w:val="20"/>
        <w:szCs w:val="20"/>
        <w:lang w:eastAsia="pl-PL"/>
      </w:rPr>
      <w:t>K</w:t>
    </w:r>
    <w:r w:rsidRPr="008A7C2F">
      <w:rPr>
        <w:rFonts w:ascii="Calibri" w:hAnsi="Calibri"/>
        <w:sz w:val="20"/>
        <w:szCs w:val="20"/>
        <w:lang w:eastAsia="pl-PL"/>
      </w:rPr>
      <w:t>ONFERENCJ</w:t>
    </w:r>
    <w:r w:rsidR="00A433EC">
      <w:rPr>
        <w:rFonts w:ascii="Calibri" w:hAnsi="Calibri"/>
        <w:sz w:val="20"/>
        <w:szCs w:val="20"/>
        <w:lang w:eastAsia="pl-PL"/>
      </w:rPr>
      <w:t>A</w:t>
    </w:r>
    <w:r w:rsidRPr="008A7C2F">
      <w:rPr>
        <w:rFonts w:ascii="Calibri" w:hAnsi="Calibri"/>
        <w:sz w:val="20"/>
        <w:szCs w:val="20"/>
        <w:lang w:eastAsia="pl-PL"/>
      </w:rPr>
      <w:t xml:space="preserve">  NAUKOWO-SZKOLENIOW</w:t>
    </w:r>
    <w:r w:rsidR="00A433EC">
      <w:rPr>
        <w:rFonts w:ascii="Calibri" w:hAnsi="Calibri"/>
        <w:sz w:val="20"/>
        <w:szCs w:val="20"/>
        <w:lang w:eastAsia="pl-PL"/>
      </w:rPr>
      <w:t>A</w:t>
    </w:r>
    <w:r w:rsidRPr="008A7C2F">
      <w:rPr>
        <w:rFonts w:ascii="Calibri" w:hAnsi="Calibri"/>
        <w:sz w:val="20"/>
        <w:szCs w:val="20"/>
        <w:lang w:eastAsia="pl-PL"/>
      </w:rPr>
      <w:t xml:space="preserve"> DLA MŁODYCH LEKARZY SPECJALIZUJĄCYCH SIĘ W CHIRURGII DZIECIĘCEJ </w:t>
    </w:r>
    <w:r w:rsidR="000A2451">
      <w:rPr>
        <w:rFonts w:ascii="Calibri" w:hAnsi="Calibri"/>
        <w:sz w:val="20"/>
        <w:szCs w:val="20"/>
        <w:lang w:eastAsia="pl-PL"/>
      </w:rPr>
      <w:t xml:space="preserve"> </w:t>
    </w:r>
    <w:r w:rsidR="00B80672">
      <w:rPr>
        <w:rFonts w:ascii="Calibri" w:hAnsi="Calibri"/>
        <w:sz w:val="20"/>
        <w:szCs w:val="20"/>
        <w:lang w:eastAsia="pl-PL"/>
      </w:rPr>
      <w:t>6</w:t>
    </w:r>
    <w:r w:rsidR="009C2C8F">
      <w:rPr>
        <w:rFonts w:ascii="Calibri" w:hAnsi="Calibri"/>
        <w:sz w:val="20"/>
        <w:szCs w:val="20"/>
        <w:lang w:eastAsia="pl-PL"/>
      </w:rPr>
      <w:t>-</w:t>
    </w:r>
    <w:r w:rsidR="00B80672">
      <w:rPr>
        <w:rFonts w:ascii="Calibri" w:hAnsi="Calibri"/>
        <w:sz w:val="20"/>
        <w:szCs w:val="20"/>
        <w:lang w:eastAsia="pl-PL"/>
      </w:rPr>
      <w:t>7</w:t>
    </w:r>
    <w:r w:rsidR="009C2C8F">
      <w:rPr>
        <w:rFonts w:ascii="Calibri" w:hAnsi="Calibri"/>
        <w:sz w:val="20"/>
        <w:szCs w:val="20"/>
        <w:lang w:eastAsia="pl-PL"/>
      </w:rPr>
      <w:t xml:space="preserve"> </w:t>
    </w:r>
    <w:r w:rsidR="00DC4829" w:rsidRPr="008A7C2F">
      <w:rPr>
        <w:rFonts w:ascii="Calibri" w:hAnsi="Calibri" w:cs="Arial"/>
        <w:bCs/>
        <w:caps/>
        <w:sz w:val="20"/>
        <w:szCs w:val="20"/>
      </w:rPr>
      <w:t>grudNIA 20</w:t>
    </w:r>
    <w:r w:rsidR="008D0079" w:rsidRPr="008A7C2F">
      <w:rPr>
        <w:rFonts w:ascii="Calibri" w:hAnsi="Calibri" w:cs="Arial"/>
        <w:bCs/>
        <w:caps/>
        <w:sz w:val="20"/>
        <w:szCs w:val="20"/>
      </w:rPr>
      <w:t>2</w:t>
    </w:r>
    <w:r w:rsidR="00B80672">
      <w:rPr>
        <w:rFonts w:ascii="Calibri" w:hAnsi="Calibri" w:cs="Arial"/>
        <w:bCs/>
        <w:caps/>
        <w:sz w:val="20"/>
        <w:szCs w:val="20"/>
      </w:rPr>
      <w:t>4</w:t>
    </w:r>
  </w:p>
  <w:p w14:paraId="2233E981" w14:textId="77777777" w:rsidR="00002DE8" w:rsidRPr="008A7C2F" w:rsidRDefault="00002DE8">
    <w:pPr>
      <w:pStyle w:val="Nagwek"/>
      <w:rPr>
        <w:rFonts w:ascii="Calibri" w:hAnsi="Calibri"/>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B3B6" w14:textId="77777777" w:rsidR="0055578C" w:rsidRDefault="005557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18"/>
    <w:rsid w:val="00002DE8"/>
    <w:rsid w:val="00014D98"/>
    <w:rsid w:val="0004445B"/>
    <w:rsid w:val="00060866"/>
    <w:rsid w:val="000A2451"/>
    <w:rsid w:val="000A6889"/>
    <w:rsid w:val="000B18BF"/>
    <w:rsid w:val="000F2988"/>
    <w:rsid w:val="000F526D"/>
    <w:rsid w:val="000F55E1"/>
    <w:rsid w:val="00112696"/>
    <w:rsid w:val="00122CC8"/>
    <w:rsid w:val="00153002"/>
    <w:rsid w:val="001A5CFF"/>
    <w:rsid w:val="001B165D"/>
    <w:rsid w:val="001E72CD"/>
    <w:rsid w:val="0021491E"/>
    <w:rsid w:val="002260D4"/>
    <w:rsid w:val="00230650"/>
    <w:rsid w:val="00230B6D"/>
    <w:rsid w:val="0023655B"/>
    <w:rsid w:val="002823D3"/>
    <w:rsid w:val="00291E06"/>
    <w:rsid w:val="002B143F"/>
    <w:rsid w:val="002C3360"/>
    <w:rsid w:val="002C56EA"/>
    <w:rsid w:val="002C6471"/>
    <w:rsid w:val="00311B91"/>
    <w:rsid w:val="00320E34"/>
    <w:rsid w:val="00324195"/>
    <w:rsid w:val="0033199C"/>
    <w:rsid w:val="00335FBB"/>
    <w:rsid w:val="0039021B"/>
    <w:rsid w:val="00392DE9"/>
    <w:rsid w:val="003D61E8"/>
    <w:rsid w:val="003D74AC"/>
    <w:rsid w:val="003F7795"/>
    <w:rsid w:val="00407AE8"/>
    <w:rsid w:val="00410FD5"/>
    <w:rsid w:val="00442127"/>
    <w:rsid w:val="0044759F"/>
    <w:rsid w:val="004506B1"/>
    <w:rsid w:val="004D5474"/>
    <w:rsid w:val="005101D4"/>
    <w:rsid w:val="005142DC"/>
    <w:rsid w:val="00523022"/>
    <w:rsid w:val="005234B2"/>
    <w:rsid w:val="00523B71"/>
    <w:rsid w:val="00526E27"/>
    <w:rsid w:val="0052721F"/>
    <w:rsid w:val="0055578C"/>
    <w:rsid w:val="00592199"/>
    <w:rsid w:val="005C1A71"/>
    <w:rsid w:val="005C560A"/>
    <w:rsid w:val="005C6C18"/>
    <w:rsid w:val="005D2874"/>
    <w:rsid w:val="005E4DF9"/>
    <w:rsid w:val="005F018A"/>
    <w:rsid w:val="005F6501"/>
    <w:rsid w:val="00615659"/>
    <w:rsid w:val="00626B55"/>
    <w:rsid w:val="00630415"/>
    <w:rsid w:val="00632D77"/>
    <w:rsid w:val="00634EAC"/>
    <w:rsid w:val="0063747F"/>
    <w:rsid w:val="00641614"/>
    <w:rsid w:val="00645F36"/>
    <w:rsid w:val="006C5465"/>
    <w:rsid w:val="006F0CE7"/>
    <w:rsid w:val="006F5F4F"/>
    <w:rsid w:val="00730295"/>
    <w:rsid w:val="0073328A"/>
    <w:rsid w:val="00764262"/>
    <w:rsid w:val="007728A0"/>
    <w:rsid w:val="007A21B3"/>
    <w:rsid w:val="007C5425"/>
    <w:rsid w:val="00823ACD"/>
    <w:rsid w:val="00826B98"/>
    <w:rsid w:val="00834B0D"/>
    <w:rsid w:val="008A6F2B"/>
    <w:rsid w:val="008A7C2F"/>
    <w:rsid w:val="008B2E58"/>
    <w:rsid w:val="008D0079"/>
    <w:rsid w:val="008D1CCB"/>
    <w:rsid w:val="008E0655"/>
    <w:rsid w:val="00904769"/>
    <w:rsid w:val="00913501"/>
    <w:rsid w:val="009322BE"/>
    <w:rsid w:val="00932BFF"/>
    <w:rsid w:val="00957597"/>
    <w:rsid w:val="00992D2B"/>
    <w:rsid w:val="009C2C8F"/>
    <w:rsid w:val="009E732E"/>
    <w:rsid w:val="009F2BA2"/>
    <w:rsid w:val="00A052AB"/>
    <w:rsid w:val="00A24361"/>
    <w:rsid w:val="00A268D3"/>
    <w:rsid w:val="00A41BDF"/>
    <w:rsid w:val="00A433EC"/>
    <w:rsid w:val="00A61B9A"/>
    <w:rsid w:val="00A77E3E"/>
    <w:rsid w:val="00A82101"/>
    <w:rsid w:val="00AC04DA"/>
    <w:rsid w:val="00AC124F"/>
    <w:rsid w:val="00AC1F09"/>
    <w:rsid w:val="00B55701"/>
    <w:rsid w:val="00B77477"/>
    <w:rsid w:val="00B80672"/>
    <w:rsid w:val="00BB0C22"/>
    <w:rsid w:val="00C000B8"/>
    <w:rsid w:val="00C01004"/>
    <w:rsid w:val="00C260B6"/>
    <w:rsid w:val="00CF7C26"/>
    <w:rsid w:val="00D50465"/>
    <w:rsid w:val="00D94AA5"/>
    <w:rsid w:val="00D9716E"/>
    <w:rsid w:val="00DA00C1"/>
    <w:rsid w:val="00DA48C2"/>
    <w:rsid w:val="00DB1D32"/>
    <w:rsid w:val="00DC4829"/>
    <w:rsid w:val="00DD5DB7"/>
    <w:rsid w:val="00DF2577"/>
    <w:rsid w:val="00DF6E87"/>
    <w:rsid w:val="00E125C4"/>
    <w:rsid w:val="00E306FB"/>
    <w:rsid w:val="00E828C4"/>
    <w:rsid w:val="00E846E2"/>
    <w:rsid w:val="00EC0A7E"/>
    <w:rsid w:val="00EC53FD"/>
    <w:rsid w:val="00F06621"/>
    <w:rsid w:val="00F21ECB"/>
    <w:rsid w:val="00F31ADF"/>
    <w:rsid w:val="00F762ED"/>
    <w:rsid w:val="00F7667C"/>
    <w:rsid w:val="00F77C40"/>
    <w:rsid w:val="00FA1B54"/>
    <w:rsid w:val="00FA597F"/>
    <w:rsid w:val="00FB7EA2"/>
    <w:rsid w:val="00FD4DB8"/>
    <w:rsid w:val="00FF1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A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paragraph" w:styleId="Tekstpodstawowy">
    <w:name w:val="Body Text"/>
    <w:basedOn w:val="Normalny"/>
  </w:style>
  <w:style w:type="paragraph" w:styleId="Nagwek">
    <w:name w:val="header"/>
    <w:basedOn w:val="Normalny"/>
  </w:style>
  <w:style w:type="character" w:styleId="Hipercze">
    <w:name w:val="Hyperlink"/>
    <w:rPr>
      <w:color w:val="0000FF"/>
      <w:u w:val="single"/>
    </w:rPr>
  </w:style>
  <w:style w:type="character" w:styleId="UyteHipercze">
    <w:name w:val="FollowedHyperlink"/>
    <w:rsid w:val="00992D2B"/>
    <w:rPr>
      <w:color w:val="800080"/>
      <w:u w:val="single"/>
    </w:rPr>
  </w:style>
  <w:style w:type="paragraph" w:styleId="Tekstprzypisukocowego">
    <w:name w:val="endnote text"/>
    <w:basedOn w:val="Normalny"/>
    <w:link w:val="TekstprzypisukocowegoZnak"/>
    <w:rsid w:val="00DA00C1"/>
    <w:rPr>
      <w:sz w:val="20"/>
      <w:szCs w:val="20"/>
    </w:rPr>
  </w:style>
  <w:style w:type="character" w:customStyle="1" w:styleId="TekstprzypisukocowegoZnak">
    <w:name w:val="Tekst przypisu końcowego Znak"/>
    <w:link w:val="Tekstprzypisukocowego"/>
    <w:rsid w:val="00DA00C1"/>
    <w:rPr>
      <w:rFonts w:ascii="Arial" w:hAnsi="Arial"/>
      <w:lang w:val="en-GB" w:eastAsia="en-US"/>
    </w:rPr>
  </w:style>
  <w:style w:type="character" w:styleId="Odwoanieprzypisukocowego">
    <w:name w:val="endnote reference"/>
    <w:rsid w:val="00DA00C1"/>
    <w:rPr>
      <w:vertAlign w:val="superscript"/>
    </w:rPr>
  </w:style>
  <w:style w:type="paragraph" w:styleId="NormalnyWeb">
    <w:name w:val="Normal (Web)"/>
    <w:basedOn w:val="Normalny"/>
    <w:rsid w:val="002823D3"/>
    <w:rPr>
      <w:rFonts w:ascii="Times New Roman" w:hAnsi="Times New Roman"/>
    </w:rPr>
  </w:style>
  <w:style w:type="character" w:customStyle="1" w:styleId="UnresolvedMention">
    <w:name w:val="Unresolved Mention"/>
    <w:basedOn w:val="Domylnaczcionkaakapitu"/>
    <w:uiPriority w:val="99"/>
    <w:semiHidden/>
    <w:unhideWhenUsed/>
    <w:rsid w:val="002823D3"/>
    <w:rPr>
      <w:color w:val="605E5C"/>
      <w:shd w:val="clear" w:color="auto" w:fill="E1DFDD"/>
    </w:rPr>
  </w:style>
  <w:style w:type="character" w:styleId="Pogrubienie">
    <w:name w:val="Strong"/>
    <w:qFormat/>
    <w:rsid w:val="001B165D"/>
    <w:rPr>
      <w:b/>
      <w:bCs/>
    </w:rPr>
  </w:style>
  <w:style w:type="character" w:customStyle="1" w:styleId="s1">
    <w:name w:val="s1"/>
    <w:rsid w:val="001B1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lang w:val="en-GB" w:eastAsia="en-US"/>
    </w:rPr>
  </w:style>
  <w:style w:type="paragraph" w:styleId="Nagwek1">
    <w:name w:val="heading 1"/>
    <w:basedOn w:val="Normalny"/>
    <w:next w:val="Normalny"/>
    <w:qFormat/>
    <w:pPr>
      <w:outlineLvl w:val="0"/>
    </w:pPr>
    <w:rPr>
      <w:bCs/>
    </w:rPr>
  </w:style>
  <w:style w:type="paragraph" w:styleId="Nagwek2">
    <w:name w:val="heading 2"/>
    <w:basedOn w:val="Normalny"/>
    <w:next w:val="Normalny"/>
    <w:qFormat/>
    <w:pPr>
      <w:keepNext/>
      <w:jc w:val="center"/>
      <w:outlineLvl w:val="1"/>
    </w:pPr>
    <w:rPr>
      <w:b/>
      <w:bCs/>
      <w:sz w:val="18"/>
      <w:lang w:val="pl-PL"/>
    </w:rPr>
  </w:style>
  <w:style w:type="paragraph" w:styleId="Nagwek5">
    <w:name w:val="heading 5"/>
    <w:basedOn w:val="Normalny"/>
    <w:next w:val="Normalny"/>
    <w:qFormat/>
    <w:pPr>
      <w:spacing w:before="240" w:after="60"/>
      <w:outlineLvl w:val="4"/>
    </w:pPr>
    <w:rPr>
      <w:rFonts w:ascii="Times New Roman" w:hAnsi="Times New Roman"/>
      <w:b/>
      <w:bCs/>
      <w:i/>
      <w:iCs/>
      <w:sz w:val="26"/>
      <w:szCs w:val="2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Stopka">
    <w:name w:val="footer"/>
    <w:basedOn w:val="Normalny"/>
    <w:pPr>
      <w:tabs>
        <w:tab w:val="center" w:pos="4536"/>
        <w:tab w:val="right" w:pos="9072"/>
      </w:tabs>
    </w:pPr>
  </w:style>
  <w:style w:type="paragraph" w:styleId="Tekstpodstawowy">
    <w:name w:val="Body Text"/>
    <w:basedOn w:val="Normalny"/>
  </w:style>
  <w:style w:type="paragraph" w:styleId="Nagwek">
    <w:name w:val="header"/>
    <w:basedOn w:val="Normalny"/>
  </w:style>
  <w:style w:type="character" w:styleId="Hipercze">
    <w:name w:val="Hyperlink"/>
    <w:rPr>
      <w:color w:val="0000FF"/>
      <w:u w:val="single"/>
    </w:rPr>
  </w:style>
  <w:style w:type="character" w:styleId="UyteHipercze">
    <w:name w:val="FollowedHyperlink"/>
    <w:rsid w:val="00992D2B"/>
    <w:rPr>
      <w:color w:val="800080"/>
      <w:u w:val="single"/>
    </w:rPr>
  </w:style>
  <w:style w:type="paragraph" w:styleId="Tekstprzypisukocowego">
    <w:name w:val="endnote text"/>
    <w:basedOn w:val="Normalny"/>
    <w:link w:val="TekstprzypisukocowegoZnak"/>
    <w:rsid w:val="00DA00C1"/>
    <w:rPr>
      <w:sz w:val="20"/>
      <w:szCs w:val="20"/>
    </w:rPr>
  </w:style>
  <w:style w:type="character" w:customStyle="1" w:styleId="TekstprzypisukocowegoZnak">
    <w:name w:val="Tekst przypisu końcowego Znak"/>
    <w:link w:val="Tekstprzypisukocowego"/>
    <w:rsid w:val="00DA00C1"/>
    <w:rPr>
      <w:rFonts w:ascii="Arial" w:hAnsi="Arial"/>
      <w:lang w:val="en-GB" w:eastAsia="en-US"/>
    </w:rPr>
  </w:style>
  <w:style w:type="character" w:styleId="Odwoanieprzypisukocowego">
    <w:name w:val="endnote reference"/>
    <w:rsid w:val="00DA00C1"/>
    <w:rPr>
      <w:vertAlign w:val="superscript"/>
    </w:rPr>
  </w:style>
  <w:style w:type="paragraph" w:styleId="NormalnyWeb">
    <w:name w:val="Normal (Web)"/>
    <w:basedOn w:val="Normalny"/>
    <w:rsid w:val="002823D3"/>
    <w:rPr>
      <w:rFonts w:ascii="Times New Roman" w:hAnsi="Times New Roman"/>
    </w:rPr>
  </w:style>
  <w:style w:type="character" w:customStyle="1" w:styleId="UnresolvedMention">
    <w:name w:val="Unresolved Mention"/>
    <w:basedOn w:val="Domylnaczcionkaakapitu"/>
    <w:uiPriority w:val="99"/>
    <w:semiHidden/>
    <w:unhideWhenUsed/>
    <w:rsid w:val="002823D3"/>
    <w:rPr>
      <w:color w:val="605E5C"/>
      <w:shd w:val="clear" w:color="auto" w:fill="E1DFDD"/>
    </w:rPr>
  </w:style>
  <w:style w:type="character" w:styleId="Pogrubienie">
    <w:name w:val="Strong"/>
    <w:qFormat/>
    <w:rsid w:val="001B165D"/>
    <w:rPr>
      <w:b/>
      <w:bCs/>
    </w:rPr>
  </w:style>
  <w:style w:type="character" w:customStyle="1" w:styleId="s1">
    <w:name w:val="s1"/>
    <w:rsid w:val="001B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136">
      <w:bodyDiv w:val="1"/>
      <w:marLeft w:val="0"/>
      <w:marRight w:val="0"/>
      <w:marTop w:val="0"/>
      <w:marBottom w:val="0"/>
      <w:divBdr>
        <w:top w:val="none" w:sz="0" w:space="0" w:color="auto"/>
        <w:left w:val="none" w:sz="0" w:space="0" w:color="auto"/>
        <w:bottom w:val="none" w:sz="0" w:space="0" w:color="auto"/>
        <w:right w:val="none" w:sz="0" w:space="0" w:color="auto"/>
      </w:divBdr>
    </w:div>
    <w:div w:id="401873807">
      <w:bodyDiv w:val="1"/>
      <w:marLeft w:val="0"/>
      <w:marRight w:val="0"/>
      <w:marTop w:val="0"/>
      <w:marBottom w:val="0"/>
      <w:divBdr>
        <w:top w:val="none" w:sz="0" w:space="0" w:color="auto"/>
        <w:left w:val="none" w:sz="0" w:space="0" w:color="auto"/>
        <w:bottom w:val="none" w:sz="0" w:space="0" w:color="auto"/>
        <w:right w:val="none" w:sz="0" w:space="0" w:color="auto"/>
      </w:divBdr>
    </w:div>
    <w:div w:id="415324942">
      <w:bodyDiv w:val="1"/>
      <w:marLeft w:val="0"/>
      <w:marRight w:val="0"/>
      <w:marTop w:val="0"/>
      <w:marBottom w:val="0"/>
      <w:divBdr>
        <w:top w:val="none" w:sz="0" w:space="0" w:color="auto"/>
        <w:left w:val="none" w:sz="0" w:space="0" w:color="auto"/>
        <w:bottom w:val="none" w:sz="0" w:space="0" w:color="auto"/>
        <w:right w:val="none" w:sz="0" w:space="0" w:color="auto"/>
      </w:divBdr>
    </w:div>
    <w:div w:id="912273527">
      <w:bodyDiv w:val="1"/>
      <w:marLeft w:val="0"/>
      <w:marRight w:val="0"/>
      <w:marTop w:val="0"/>
      <w:marBottom w:val="0"/>
      <w:divBdr>
        <w:top w:val="none" w:sz="0" w:space="0" w:color="auto"/>
        <w:left w:val="none" w:sz="0" w:space="0" w:color="auto"/>
        <w:bottom w:val="none" w:sz="0" w:space="0" w:color="auto"/>
        <w:right w:val="none" w:sz="0" w:space="0" w:color="auto"/>
      </w:divBdr>
    </w:div>
    <w:div w:id="955256497">
      <w:bodyDiv w:val="1"/>
      <w:marLeft w:val="0"/>
      <w:marRight w:val="0"/>
      <w:marTop w:val="0"/>
      <w:marBottom w:val="0"/>
      <w:divBdr>
        <w:top w:val="none" w:sz="0" w:space="0" w:color="auto"/>
        <w:left w:val="none" w:sz="0" w:space="0" w:color="auto"/>
        <w:bottom w:val="none" w:sz="0" w:space="0" w:color="auto"/>
        <w:right w:val="none" w:sz="0" w:space="0" w:color="auto"/>
      </w:divBdr>
    </w:div>
    <w:div w:id="955866695">
      <w:bodyDiv w:val="1"/>
      <w:marLeft w:val="0"/>
      <w:marRight w:val="0"/>
      <w:marTop w:val="0"/>
      <w:marBottom w:val="0"/>
      <w:divBdr>
        <w:top w:val="none" w:sz="0" w:space="0" w:color="auto"/>
        <w:left w:val="none" w:sz="0" w:space="0" w:color="auto"/>
        <w:bottom w:val="none" w:sz="0" w:space="0" w:color="auto"/>
        <w:right w:val="none" w:sz="0" w:space="0" w:color="auto"/>
      </w:divBdr>
    </w:div>
    <w:div w:id="1583686614">
      <w:bodyDiv w:val="1"/>
      <w:marLeft w:val="0"/>
      <w:marRight w:val="0"/>
      <w:marTop w:val="0"/>
      <w:marBottom w:val="0"/>
      <w:divBdr>
        <w:top w:val="none" w:sz="0" w:space="0" w:color="auto"/>
        <w:left w:val="none" w:sz="0" w:space="0" w:color="auto"/>
        <w:bottom w:val="none" w:sz="0" w:space="0" w:color="auto"/>
        <w:right w:val="none" w:sz="0" w:space="0" w:color="auto"/>
      </w:divBdr>
    </w:div>
    <w:div w:id="1606646719">
      <w:bodyDiv w:val="1"/>
      <w:marLeft w:val="0"/>
      <w:marRight w:val="0"/>
      <w:marTop w:val="0"/>
      <w:marBottom w:val="0"/>
      <w:divBdr>
        <w:top w:val="none" w:sz="0" w:space="0" w:color="auto"/>
        <w:left w:val="none" w:sz="0" w:space="0" w:color="auto"/>
        <w:bottom w:val="none" w:sz="0" w:space="0" w:color="auto"/>
        <w:right w:val="none" w:sz="0" w:space="0" w:color="auto"/>
      </w:divBdr>
    </w:div>
    <w:div w:id="1753038942">
      <w:bodyDiv w:val="1"/>
      <w:marLeft w:val="0"/>
      <w:marRight w:val="0"/>
      <w:marTop w:val="0"/>
      <w:marBottom w:val="0"/>
      <w:divBdr>
        <w:top w:val="none" w:sz="0" w:space="0" w:color="auto"/>
        <w:left w:val="none" w:sz="0" w:space="0" w:color="auto"/>
        <w:bottom w:val="none" w:sz="0" w:space="0" w:color="auto"/>
        <w:right w:val="none" w:sz="0" w:space="0" w:color="auto"/>
      </w:divBdr>
    </w:div>
    <w:div w:id="19313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yta.jedrzejak@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ja.gizewska.kacprzak@pum.edu.pl"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natalya.plyatsk@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lnik@ipczd.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kocot@ipczd.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kalicinski@ipc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2486</Words>
  <Characters>14922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Template</vt:lpstr>
    </vt:vector>
  </TitlesOfParts>
  <Company>Instytut "Pomnik - Centrum Zdrowia Dziecka"</Company>
  <LinksUpToDate>false</LinksUpToDate>
  <CharactersWithSpaces>17374</CharactersWithSpaces>
  <SharedDoc>false</SharedDoc>
  <HLinks>
    <vt:vector size="6" baseType="variant">
      <vt:variant>
        <vt:i4>8060929</vt:i4>
      </vt:variant>
      <vt:variant>
        <vt:i4>0</vt:i4>
      </vt:variant>
      <vt:variant>
        <vt:i4>0</vt:i4>
      </vt:variant>
      <vt:variant>
        <vt:i4>5</vt:i4>
      </vt:variant>
      <vt:variant>
        <vt:lpwstr>mailto:p.kalicinski@ipczd.pl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Kim Wilson</dc:creator>
  <cp:keywords/>
  <cp:lastModifiedBy>Przemysław Trzciński</cp:lastModifiedBy>
  <cp:revision>5</cp:revision>
  <cp:lastPrinted>2017-11-15T20:19:00Z</cp:lastPrinted>
  <dcterms:created xsi:type="dcterms:W3CDTF">2024-11-15T15:42:00Z</dcterms:created>
  <dcterms:modified xsi:type="dcterms:W3CDTF">2024-11-29T07:55:00Z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