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D68C" w14:textId="77777777" w:rsidR="00002DE8" w:rsidRDefault="00002DE8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002DE8" w:rsidRPr="006A4D7A" w14:paraId="6A8C2296" w14:textId="77777777" w:rsidTr="00DD5DB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1896AAE7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="00B77477" w:rsidRPr="006A4D7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72724ED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24EF8C29" w14:textId="77777777" w:rsidR="00757680" w:rsidRPr="006A4D7A" w:rsidRDefault="00757680" w:rsidP="00757680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Plastron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okołowyrostkowy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– analiza schematu postępowania.</w:t>
            </w:r>
          </w:p>
          <w:p w14:paraId="63C07D19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02DE8" w:rsidRPr="006A4D7A" w14:paraId="0FE63D9E" w14:textId="77777777" w:rsidTr="00DD5DB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D17D406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Autorzy</w:t>
            </w:r>
            <w:r w:rsidR="00B77477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221" w:type="dxa"/>
            <w:gridSpan w:val="3"/>
          </w:tcPr>
          <w:p w14:paraId="362DA380" w14:textId="18AF74F2" w:rsidR="00002DE8" w:rsidRPr="006A4D7A" w:rsidRDefault="00757680" w:rsidP="00757680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Bodziacka A., Jasińska A.</w:t>
            </w:r>
          </w:p>
        </w:tc>
      </w:tr>
      <w:tr w:rsidR="00002DE8" w:rsidRPr="006A4D7A" w14:paraId="64B6AC3D" w14:textId="77777777" w:rsidTr="00DD5DB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0ED6A141" w14:textId="77777777" w:rsidR="00FA1B54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</w:t>
            </w:r>
            <w:r w:rsidR="00B77477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5AF4FFB2" w14:textId="77777777" w:rsidR="00002DE8" w:rsidRPr="006A4D7A" w:rsidRDefault="00FA1B54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2C3CE71E" w14:textId="77777777" w:rsidR="00002DE8" w:rsidRPr="006A4D7A" w:rsidRDefault="00757680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Dziecięcej UCKWUM</w:t>
            </w:r>
          </w:p>
          <w:p w14:paraId="31F356CD" w14:textId="0B4E7D92" w:rsidR="00757680" w:rsidRDefault="00757680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E-mail: </w:t>
            </w:r>
            <w:hyperlink r:id="rId8" w:history="1">
              <w:r w:rsidR="006A4D7A" w:rsidRPr="005578FC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agata.bodziacka@uckwum.pl</w:t>
              </w:r>
            </w:hyperlink>
          </w:p>
          <w:p w14:paraId="04023BA4" w14:textId="3FDF291D" w:rsidR="006A4D7A" w:rsidRPr="006A4D7A" w:rsidRDefault="006A4D7A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02DE8" w:rsidRPr="006A4D7A" w14:paraId="41742A24" w14:textId="77777777" w:rsidTr="00DD5DB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4EFA79B3" w14:textId="772C2A66" w:rsidR="003F7795" w:rsidRPr="006A4D7A" w:rsidRDefault="00A433EC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XX</w:t>
            </w:r>
            <w:r w:rsidR="00DD5DB7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</w:t>
            </w:r>
            <w:r w:rsidR="00FA1B54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ympozjum </w:t>
            </w:r>
            <w:r w:rsidR="001A5CFF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Interdyscyplinarne</w:t>
            </w:r>
            <w:r w:rsidR="005C560A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7A1BA430" w14:textId="15A2F483" w:rsidR="00FA1B54" w:rsidRPr="006A4D7A" w:rsidRDefault="00DD5DB7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="00904769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grud</w:t>
            </w:r>
            <w:r w:rsidR="00C000B8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nia</w:t>
            </w:r>
            <w:r w:rsidR="00904769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20</w:t>
            </w:r>
            <w:r w:rsidR="00632D77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  <w:p w14:paraId="1176AF50" w14:textId="77777777" w:rsidR="00FA1B54" w:rsidRPr="006A4D7A" w:rsidRDefault="00FA1B54" w:rsidP="005F018A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7B905790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1305CDE" w14:textId="4F54D1F3" w:rsidR="00757680" w:rsidRPr="006A4D7A" w:rsidRDefault="00757680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                                  X</w:t>
            </w:r>
          </w:p>
        </w:tc>
        <w:tc>
          <w:tcPr>
            <w:tcW w:w="1701" w:type="dxa"/>
            <w:shd w:val="clear" w:color="auto" w:fill="C0C0C0"/>
          </w:tcPr>
          <w:p w14:paraId="07676B19" w14:textId="4BEB685C" w:rsidR="003F7795" w:rsidRPr="006A4D7A" w:rsidRDefault="00A433EC" w:rsidP="005F018A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X</w:t>
            </w:r>
            <w:r w:rsidR="00DD5DB7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I</w:t>
            </w:r>
            <w:r w:rsidR="00FA1B54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  <w:r w:rsidR="000F2988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Konferencja</w:t>
            </w:r>
            <w:r w:rsidR="00FA1B54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Naukowo-Szkoleniowe</w:t>
            </w:r>
            <w:r w:rsidR="003F7795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</w:t>
            </w:r>
          </w:p>
          <w:p w14:paraId="25844545" w14:textId="7E755ADF" w:rsidR="00002DE8" w:rsidRPr="006A4D7A" w:rsidRDefault="00DD5DB7" w:rsidP="005F018A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</w:t>
            </w:r>
            <w:r w:rsidR="003F7795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grud</w:t>
            </w:r>
            <w:r w:rsidR="00C000B8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nia</w:t>
            </w:r>
            <w:r w:rsidR="003F7795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 20</w:t>
            </w:r>
            <w:r w:rsidR="00632D77"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2</w:t>
            </w:r>
            <w:r w:rsidRPr="006A4D7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4</w:t>
            </w:r>
          </w:p>
          <w:p w14:paraId="5E6241D4" w14:textId="77777777" w:rsidR="00FA1B54" w:rsidRPr="006A4D7A" w:rsidRDefault="00FA1B54" w:rsidP="005F018A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7A845314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02DE8" w:rsidRPr="006A4D7A" w14:paraId="520315E1" w14:textId="77777777" w:rsidTr="006A4D7A">
        <w:trPr>
          <w:trHeight w:hRule="exact" w:val="6664"/>
        </w:trPr>
        <w:tc>
          <w:tcPr>
            <w:tcW w:w="1418" w:type="dxa"/>
            <w:shd w:val="pct20" w:color="auto" w:fill="FFFFFF"/>
          </w:tcPr>
          <w:p w14:paraId="208174EE" w14:textId="77777777" w:rsidR="00002DE8" w:rsidRPr="006A4D7A" w:rsidRDefault="00002DE8" w:rsidP="005F018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</w:t>
            </w:r>
            <w:r w:rsidR="00B77477"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6A4D7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7CABA1CD" w14:textId="77777777" w:rsidR="00757680" w:rsidRPr="006A4D7A" w:rsidRDefault="00DA00C1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680" w:rsidRPr="006A4D7A">
              <w:rPr>
                <w:rFonts w:asciiTheme="minorHAnsi" w:hAnsiTheme="minorHAnsi" w:cstheme="minorHAnsi"/>
                <w:sz w:val="20"/>
                <w:szCs w:val="20"/>
              </w:rPr>
              <w:t>Wstęp</w:t>
            </w:r>
          </w:p>
          <w:p w14:paraId="5F6B2A22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Appendektomia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jest najczęściej wykonywaną pilna operacją brzuszną u dzieci. Roczna zachorowalność wzrasta z około 5:10000 dzieci poniżej 5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rż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do około 25:10000 dzieci pomiędzy 5 a 14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rż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. W 3,9% ostrego zapalenia wyrostka robaczkowego dochodzi do powstania nacieku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okołowyrostkowego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. Utworzony jest ze zmienionego zapalnie wyrostka robaczkowego, sieci i pętli jelitowych.</w:t>
            </w:r>
          </w:p>
          <w:p w14:paraId="2D3C5383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Materiał i metodologia</w:t>
            </w:r>
          </w:p>
          <w:p w14:paraId="7E5C9769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Retrospektywnie przenalizowano dane pacjentów leczonych w Klinice Chirurgii Dziecięcej UCKWUM z powodu plastronu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okołowyrostkowego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w latach 2023-2024 oraz dostępną literaturę. Pod uwagę wzięto warunki kwalifikacji, schemat postępowania oraz wyniki leczenia. </w:t>
            </w:r>
          </w:p>
          <w:p w14:paraId="41299AA5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Cel pracy</w:t>
            </w:r>
          </w:p>
          <w:p w14:paraId="741E7D63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Analiza schematu postępowania w plastronie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okołowyrostkowym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BD29D0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03F9EB4E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W latach 2023-2024 hospitalizowanych było 246 pacjentów z zapaleniem wyrostka robaczkowego, z czego 6 pacjentów z plastronem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okołowyrostkowym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zakwalifikowanych do leczenia zachowawczego z odroczoną operacją. W leczeniu stosowano czasowe wstrzymanie podaży doustnej, antybiotykoterapię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szerokospektralną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płynoterapię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dożylną. Jeden pacjent z powodu braku efektu leczenia zachowawczego był zakwalifikowany do laparoskopii zwiadowczej, po której z rozpoznaniem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chłoniaka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Burkitta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był przekazany do Oddziału Onkologii. U 1 z 4 operowanych dzieci  śródoperacyjnie stwierdzono utrzymujący się naciek zapalny z ropniem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okołowyrostkowym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.  1 pacjentka oczekuje na leczenie operacyjne, pozostaje bezobjawowa. </w:t>
            </w:r>
          </w:p>
          <w:p w14:paraId="25C4C18A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Wnioski</w:t>
            </w:r>
          </w:p>
          <w:p w14:paraId="08419970" w14:textId="77777777" w:rsidR="00757680" w:rsidRPr="006A4D7A" w:rsidRDefault="00757680" w:rsidP="006A4D7A">
            <w:pPr>
              <w:pStyle w:val="Normalny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Leczenie zachowawcze z odroczoną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appendektomią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 xml:space="preserve"> jest bezpiecznym schematem postępowania u pacjentów z plastronem </w:t>
            </w:r>
            <w:proofErr w:type="spellStart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okołowyrostkowym</w:t>
            </w:r>
            <w:proofErr w:type="spellEnd"/>
            <w:r w:rsidRPr="006A4D7A">
              <w:rPr>
                <w:rFonts w:asciiTheme="minorHAnsi" w:hAnsiTheme="minorHAnsi" w:cstheme="minorHAnsi"/>
                <w:sz w:val="20"/>
                <w:szCs w:val="20"/>
              </w:rPr>
              <w:t>. Kluczowym punktem całego procesu jest właściwa kwalifikacja pacjentów. Do momentu zakończenia leczenia pacjent powinien pozostawać pod kontrolą ambulatoryjną, która weryfikuje oczekiwany wynik leczenia.</w:t>
            </w:r>
          </w:p>
          <w:p w14:paraId="216F9DBD" w14:textId="57A80A0B" w:rsidR="00957597" w:rsidRPr="006A4D7A" w:rsidRDefault="00957597" w:rsidP="006A4D7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5B6B37BF" w14:textId="77777777" w:rsidR="00002DE8" w:rsidRDefault="00002DE8">
      <w:pPr>
        <w:rPr>
          <w:lang w:val="pl-PL"/>
        </w:rPr>
      </w:pPr>
    </w:p>
    <w:p w14:paraId="5324F8B1" w14:textId="77777777" w:rsidR="00125001" w:rsidRDefault="00125001">
      <w:pPr>
        <w:rPr>
          <w:lang w:val="pl-PL"/>
        </w:rPr>
      </w:pPr>
    </w:p>
    <w:p w14:paraId="4C6571D8" w14:textId="77777777" w:rsidR="00125001" w:rsidRDefault="00125001">
      <w:pPr>
        <w:rPr>
          <w:lang w:val="pl-PL"/>
        </w:rPr>
      </w:pPr>
    </w:p>
    <w:p w14:paraId="6ACD599C" w14:textId="77777777" w:rsidR="00125001" w:rsidRDefault="00125001">
      <w:pPr>
        <w:rPr>
          <w:lang w:val="pl-PL"/>
        </w:rPr>
      </w:pPr>
    </w:p>
    <w:p w14:paraId="62F3B652" w14:textId="77777777" w:rsidR="00125001" w:rsidRDefault="00125001">
      <w:pPr>
        <w:rPr>
          <w:lang w:val="pl-PL"/>
        </w:rPr>
      </w:pPr>
    </w:p>
    <w:p w14:paraId="3AA66359" w14:textId="77777777" w:rsidR="00125001" w:rsidRDefault="00125001">
      <w:pPr>
        <w:rPr>
          <w:lang w:val="pl-PL"/>
        </w:rPr>
      </w:pPr>
    </w:p>
    <w:p w14:paraId="1C3E14F7" w14:textId="77777777" w:rsidR="00125001" w:rsidRDefault="00125001">
      <w:pPr>
        <w:rPr>
          <w:lang w:val="pl-PL"/>
        </w:rPr>
      </w:pPr>
    </w:p>
    <w:p w14:paraId="14B71416" w14:textId="77777777" w:rsidR="00125001" w:rsidRDefault="00125001">
      <w:pPr>
        <w:rPr>
          <w:lang w:val="pl-PL"/>
        </w:rPr>
      </w:pPr>
    </w:p>
    <w:p w14:paraId="4E8A46FD" w14:textId="77777777" w:rsidR="00125001" w:rsidRDefault="00125001">
      <w:pPr>
        <w:rPr>
          <w:lang w:val="pl-PL"/>
        </w:rPr>
      </w:pPr>
    </w:p>
    <w:p w14:paraId="29D23E30" w14:textId="77777777" w:rsidR="00125001" w:rsidRDefault="00125001">
      <w:pPr>
        <w:rPr>
          <w:lang w:val="pl-PL"/>
        </w:rPr>
      </w:pPr>
    </w:p>
    <w:p w14:paraId="01A88EF5" w14:textId="77777777" w:rsidR="00125001" w:rsidRDefault="00125001">
      <w:pPr>
        <w:rPr>
          <w:lang w:val="pl-PL"/>
        </w:rPr>
      </w:pPr>
    </w:p>
    <w:p w14:paraId="3A810679" w14:textId="77777777" w:rsidR="00125001" w:rsidRDefault="00125001">
      <w:pPr>
        <w:rPr>
          <w:lang w:val="pl-PL"/>
        </w:rPr>
      </w:pPr>
    </w:p>
    <w:p w14:paraId="02E23604" w14:textId="77777777" w:rsidR="00125001" w:rsidRDefault="00125001">
      <w:pPr>
        <w:rPr>
          <w:lang w:val="pl-PL"/>
        </w:rPr>
      </w:pPr>
    </w:p>
    <w:p w14:paraId="3B3EDF2A" w14:textId="77777777" w:rsidR="00125001" w:rsidRDefault="00125001">
      <w:pPr>
        <w:rPr>
          <w:lang w:val="pl-PL"/>
        </w:rPr>
      </w:pPr>
    </w:p>
    <w:p w14:paraId="1A0FDDEA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125001" w:rsidRPr="001E3BF4" w14:paraId="43F9D777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6DC10AC9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E3BF4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1C7A460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02F9CB53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Praktyczne wytyczne dotyczące zastosowania zieleni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indocyjaninowej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różnych gałęziach chirurgii dziecięcej. Ogólnopolskie badanie wieloośrodkowe.</w:t>
            </w:r>
          </w:p>
        </w:tc>
      </w:tr>
      <w:tr w:rsidR="00125001" w:rsidRPr="001E3BF4" w14:paraId="51D73AD4" w14:textId="77777777" w:rsidTr="00E50A57">
        <w:trPr>
          <w:trHeight w:hRule="exact" w:val="795"/>
        </w:trPr>
        <w:tc>
          <w:tcPr>
            <w:tcW w:w="1418" w:type="dxa"/>
            <w:shd w:val="pct20" w:color="auto" w:fill="FFFFFF"/>
          </w:tcPr>
          <w:p w14:paraId="62CBBF6E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3D7BCF94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Patrycja Sosnowska-Sienkiewicz, Grzegorz Kowalewski, Hanna Garnier, Anna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Wojtyłko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, Maciej Murawski, Marta Szczygieł, Magdalena Al-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Ameri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Piotr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Czauderna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Jan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Godzinski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Piotr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Kalicinski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, Przemysław Mańkowski</w:t>
            </w:r>
          </w:p>
        </w:tc>
      </w:tr>
      <w:tr w:rsidR="00125001" w:rsidRPr="001E3BF4" w14:paraId="6DD3195F" w14:textId="77777777" w:rsidTr="00E50A57">
        <w:trPr>
          <w:trHeight w:hRule="exact" w:val="1132"/>
        </w:trPr>
        <w:tc>
          <w:tcPr>
            <w:tcW w:w="1418" w:type="dxa"/>
            <w:shd w:val="pct20" w:color="auto" w:fill="FFFFFF"/>
          </w:tcPr>
          <w:p w14:paraId="48F8BD98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098E3D40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  <w:vAlign w:val="center"/>
          </w:tcPr>
          <w:p w14:paraId="30D0693D" w14:textId="77777777" w:rsidR="00125001" w:rsidRPr="001E3BF4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Klinika </w:t>
            </w:r>
            <w:proofErr w:type="spellStart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Chirurgii</w:t>
            </w:r>
            <w:proofErr w:type="spellEnd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Traumatologii</w:t>
            </w:r>
            <w:proofErr w:type="spellEnd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Urologii</w:t>
            </w:r>
            <w:proofErr w:type="spellEnd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Dziecięcej</w:t>
            </w:r>
            <w:proofErr w:type="spellEnd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1E3BF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Poznaniu</w:t>
            </w:r>
            <w:proofErr w:type="spellEnd"/>
          </w:p>
          <w:p w14:paraId="46620A59" w14:textId="77777777" w:rsidR="00125001" w:rsidRPr="001E3BF4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E3BF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Dziecięcej i Transplantacji Narządów w Warszawie</w:t>
            </w:r>
          </w:p>
          <w:p w14:paraId="3A33D339" w14:textId="77777777" w:rsidR="00125001" w:rsidRPr="001E3BF4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E3BF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i Urologii Dzieci i Młodzieży w Gdańsku</w:t>
            </w:r>
          </w:p>
          <w:p w14:paraId="713AF1D8" w14:textId="77777777" w:rsidR="00125001" w:rsidRPr="001E3BF4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E3BF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Oddział Chirurgii Dziecięcej we Wrocławiu</w:t>
            </w:r>
          </w:p>
          <w:p w14:paraId="7D5CD7E3" w14:textId="77777777" w:rsidR="00125001" w:rsidRPr="001E3BF4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5001" w:rsidRPr="001E3BF4" w14:paraId="77E8CDF5" w14:textId="77777777" w:rsidTr="00E50A57">
        <w:trPr>
          <w:trHeight w:hRule="exact" w:val="992"/>
        </w:trPr>
        <w:tc>
          <w:tcPr>
            <w:tcW w:w="1418" w:type="dxa"/>
            <w:shd w:val="pct20" w:color="auto" w:fill="FFFFFF"/>
          </w:tcPr>
          <w:p w14:paraId="56813FBB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776CA44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633A6AAB" w14:textId="77777777" w:rsidR="00125001" w:rsidRPr="001E3BF4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531B0566" w14:textId="77777777" w:rsidR="00125001" w:rsidRPr="001E3BF4" w:rsidRDefault="00125001" w:rsidP="00E50A5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4EAB0DBE" w14:textId="77777777" w:rsidR="00125001" w:rsidRPr="001E3BF4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1E3BF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133B1D40" w14:textId="77777777" w:rsidR="00125001" w:rsidRPr="001E3BF4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1E3BF4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5DDDD0F4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21A5FD08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1E3BF4" w14:paraId="69B1930D" w14:textId="77777777" w:rsidTr="00E50A57">
        <w:trPr>
          <w:trHeight w:hRule="exact" w:val="7228"/>
        </w:trPr>
        <w:tc>
          <w:tcPr>
            <w:tcW w:w="1418" w:type="dxa"/>
            <w:shd w:val="pct20" w:color="auto" w:fill="FFFFFF"/>
          </w:tcPr>
          <w:p w14:paraId="393216BB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519EDEF9" w14:textId="77777777" w:rsidR="00125001" w:rsidRPr="001E3BF4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6DCC488" w14:textId="77777777" w:rsidR="00125001" w:rsidRPr="001E3BF4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Wprowadzenie: Chirurgia dziecięca wymaga wysokiej precyzji i bezpieczeństwa ze względu na unikalną anatomię i fizjologię dzieci. Innowacje, które zwiększają precyzję chirurgiczną, skracają czas operacji i poprawiają wyniki pooperacyjne, są nieocenione. Zieleń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indocyjaninowa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(ICG), barwnik fluorescencyjny bliskiej podczerwieni, zdobyła uznanie ze względu na spełnianie powyższych założeń.</w:t>
            </w:r>
          </w:p>
          <w:p w14:paraId="6E6C7995" w14:textId="77777777" w:rsidR="00125001" w:rsidRPr="001E3BF4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Cel: Badanie miało na celu przedstawienie zastosowania ICG w różnych gałęziach chirurgii dziecięcej.</w:t>
            </w:r>
          </w:p>
          <w:p w14:paraId="528143B6" w14:textId="77777777" w:rsidR="00125001" w:rsidRPr="001E3BF4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Materiały i metody: Dane zostały zebrane na podstawie dokumentacji medycznej 136 pacjentów poddanych leczeniu chirurgicznemu w czterech ośrodkach klinicznych chirurgii dziecięcej w Polsce. Wyróżniono cztery główne grupy zabiegów chirurgicznych: onkologiczne, gastroenterologiczne, urologiczne i limfatyczne. Obliczenia wykonano przy użyciu programów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Statistica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13 firmy TIBCO oraz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PQStat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v. 1.8.6.120 firmy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PQStat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Software. Ponadto wykonano statystykę opisową.</w:t>
            </w:r>
          </w:p>
          <w:p w14:paraId="440F7D40" w14:textId="77777777" w:rsidR="00125001" w:rsidRPr="001E3BF4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Wyniki: Skuteczność i bezpieczeństwo ICG zostały potwierdzone w całej badanej grupie. Nie odnotowano żadnych powikłań związanych ze stosowaniem zieleni </w:t>
            </w:r>
            <w:proofErr w:type="spellStart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indocyjaninowej</w:t>
            </w:r>
            <w:proofErr w:type="spellEnd"/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. Szczegółowe statystyki opisowe przedstawiły kluczowe informacje na temat zastosowania ICG dla każdej z badanych grup.</w:t>
            </w:r>
          </w:p>
          <w:p w14:paraId="2144DBD1" w14:textId="77777777" w:rsidR="00125001" w:rsidRPr="001E3BF4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E3BF4">
              <w:rPr>
                <w:rFonts w:ascii="Calibri" w:hAnsi="Calibri" w:cs="Calibri"/>
                <w:sz w:val="20"/>
                <w:szCs w:val="20"/>
                <w:lang w:val="pl-PL"/>
              </w:rPr>
              <w:t>Wnioski: Badanie potwierdza skuteczność i bezpieczeństwo obrazowania fluorescencyjnego ICG w chirurgii dziecięcej. Zwiększając precyzję chirurgiczną i poprawiając wyniki pooperacyjne, zastosowanie ICG stanowi znaczący postęp w chirurgii pediatrycznej. Wypracowanie ustandaryzowanych protokołów i nacisk na specjalistyczne szkolenia będą kluczem do maksymalizacji korzyści płynących z ICG.</w:t>
            </w:r>
          </w:p>
        </w:tc>
      </w:tr>
    </w:tbl>
    <w:p w14:paraId="5C63476B" w14:textId="77777777" w:rsidR="00125001" w:rsidRPr="005C1A71" w:rsidRDefault="00125001" w:rsidP="00125001">
      <w:pPr>
        <w:rPr>
          <w:lang w:val="pl-PL"/>
        </w:rPr>
      </w:pPr>
    </w:p>
    <w:p w14:paraId="76043270" w14:textId="77777777" w:rsidR="00125001" w:rsidRDefault="00125001">
      <w:pPr>
        <w:rPr>
          <w:lang w:val="pl-PL"/>
        </w:rPr>
      </w:pPr>
    </w:p>
    <w:p w14:paraId="67B7AAB6" w14:textId="77777777" w:rsidR="00125001" w:rsidRDefault="00125001">
      <w:pPr>
        <w:rPr>
          <w:lang w:val="pl-PL"/>
        </w:rPr>
      </w:pPr>
    </w:p>
    <w:p w14:paraId="0C1CF5F7" w14:textId="77777777" w:rsidR="00125001" w:rsidRDefault="00125001">
      <w:pPr>
        <w:rPr>
          <w:lang w:val="pl-PL"/>
        </w:rPr>
      </w:pPr>
    </w:p>
    <w:p w14:paraId="4E14C325" w14:textId="77777777" w:rsidR="00125001" w:rsidRDefault="00125001">
      <w:pPr>
        <w:rPr>
          <w:lang w:val="pl-PL"/>
        </w:rPr>
      </w:pPr>
    </w:p>
    <w:p w14:paraId="0D8F480C" w14:textId="77777777" w:rsidR="00125001" w:rsidRDefault="00125001">
      <w:pPr>
        <w:rPr>
          <w:lang w:val="pl-PL"/>
        </w:rPr>
      </w:pPr>
    </w:p>
    <w:p w14:paraId="4CCBB386" w14:textId="77777777" w:rsidR="00125001" w:rsidRDefault="00125001">
      <w:pPr>
        <w:rPr>
          <w:lang w:val="pl-PL"/>
        </w:rPr>
      </w:pPr>
    </w:p>
    <w:p w14:paraId="51299269" w14:textId="77777777" w:rsidR="00125001" w:rsidRDefault="00125001">
      <w:pPr>
        <w:rPr>
          <w:lang w:val="pl-PL"/>
        </w:rPr>
      </w:pPr>
    </w:p>
    <w:p w14:paraId="2C9057E8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7"/>
        <w:gridCol w:w="4396"/>
        <w:gridCol w:w="1700"/>
        <w:gridCol w:w="2126"/>
      </w:tblGrid>
      <w:tr w:rsidR="00125001" w:rsidRPr="00843938" w14:paraId="74E2069B" w14:textId="77777777" w:rsidTr="00E50A57">
        <w:trPr>
          <w:trHeight w:hRule="exact" w:val="82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38892377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</w:t>
            </w:r>
            <w:proofErr w:type="spellEnd"/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0227150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ED0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Zieleń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indocyjaninowa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(ICG)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nadszedł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aby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pożegnać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krytycznym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krwawieniem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? –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seria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przypadków</w:t>
            </w:r>
            <w:proofErr w:type="spellEnd"/>
          </w:p>
        </w:tc>
      </w:tr>
      <w:tr w:rsidR="00125001" w:rsidRPr="00843938" w14:paraId="53260A62" w14:textId="77777777" w:rsidTr="00E50A57">
        <w:trPr>
          <w:trHeight w:hRule="exact" w:val="6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1E2456C1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Autorzy: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A0F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B. Bogusz, J. Godlewska, M.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Romiszewski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M. Gruba, A. Piotrowska, R. Chrzan, W. Górecki</w:t>
            </w:r>
          </w:p>
        </w:tc>
      </w:tr>
      <w:tr w:rsidR="00125001" w:rsidRPr="00843938" w14:paraId="6D2DC8CA" w14:textId="77777777" w:rsidTr="00E50A57">
        <w:trPr>
          <w:trHeight w:hRule="exact" w:val="8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75693208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Ośrodek:</w:t>
            </w:r>
          </w:p>
          <w:p w14:paraId="5FB15457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C20" w14:textId="77777777" w:rsidR="00125001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CMUJ, Kraków</w:t>
            </w:r>
          </w:p>
          <w:p w14:paraId="078FAE65" w14:textId="77777777" w:rsidR="00125001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9" w:history="1">
              <w:r w:rsidRPr="001A4411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pl-PL"/>
                </w:rPr>
                <w:t>bbogusz@usdk.pl</w:t>
              </w:r>
            </w:hyperlink>
          </w:p>
          <w:p w14:paraId="2E221935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01" w:rsidRPr="00843938" w14:paraId="00A5458B" w14:textId="77777777" w:rsidTr="00E50A57">
        <w:trPr>
          <w:trHeight w:hRule="exact" w:val="10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107CD29D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XXI Sympozjum Interdyscyplinarne</w:t>
            </w:r>
          </w:p>
          <w:p w14:paraId="1FA893CC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6  grudnia 2024</w:t>
            </w:r>
          </w:p>
          <w:p w14:paraId="213ACCE2" w14:textId="77777777" w:rsidR="00125001" w:rsidRPr="00843938" w:rsidRDefault="00125001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06C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C71387" w14:textId="77777777" w:rsidR="00125001" w:rsidRPr="00843938" w:rsidRDefault="00125001" w:rsidP="00E50A57">
            <w:pPr>
              <w:pStyle w:val="Nagwek2"/>
              <w:jc w:val="lef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XI Konferencja Naukowo-Szkoleniowe</w:t>
            </w:r>
          </w:p>
          <w:p w14:paraId="2844D1ED" w14:textId="77777777" w:rsidR="00125001" w:rsidRPr="00843938" w:rsidRDefault="00125001" w:rsidP="00E50A57">
            <w:pPr>
              <w:pStyle w:val="Nagwek2"/>
              <w:jc w:val="left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7 grudnia 2024</w:t>
            </w:r>
          </w:p>
          <w:p w14:paraId="73362731" w14:textId="77777777" w:rsidR="00125001" w:rsidRPr="00843938" w:rsidRDefault="00125001" w:rsidP="00E50A57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88B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5001" w:rsidRPr="00843938" w14:paraId="2FF46289" w14:textId="77777777" w:rsidTr="00E50A57">
        <w:trPr>
          <w:trHeight w:hRule="exact" w:val="835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5F69A183" w14:textId="77777777" w:rsidR="00125001" w:rsidRPr="00843938" w:rsidRDefault="00125001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Streszczenie:</w:t>
            </w:r>
            <w:r w:rsidRPr="008439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0B62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pacjentów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pediatrycznych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istotne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wyzwanie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szczególnie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dążenia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hemisplenektomii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zamiast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splenektomii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całkowitej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Precyzyjne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przeprowadzenie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częściowej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resekcji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wymaga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wyjątkowej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dokładności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delikatności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preparowaniu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naczyń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wnęki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odpowiedniej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hemostazy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Celem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zachowanie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jak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największej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ilości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funkcjonalnie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czynnej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tkanki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FCFB060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okresie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maja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2024 do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października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2024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roku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Klinice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Dziecięcej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Uniwersyteckiego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Szpitala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Dziecięcego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Krakowie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przeprowadzono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cztery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zabiegi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hemisplenektomii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pacjentów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wieku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od 7 do 14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wykorzystaniem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zaawansowanego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chirurgicznego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da Vinci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obrazowania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barwnika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indocyjaninowego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(ICG).</w:t>
            </w:r>
          </w:p>
          <w:p w14:paraId="6DAE43CA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System da Vinci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umożliwił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lepszą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kontrolę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precyzję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podczas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preparowania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wnęki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pacjentów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pediatrycznych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co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było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kluczowe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uniknięcia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uszkodzenia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drobnych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naczyń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zaopatrujących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pozostawiane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fragmenty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miąższu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pewne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zaopatrzenie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naczyń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usuwanej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połowy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16B9252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Barwnik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ICG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pozwalał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wizualizację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czasie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rzeczywistym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naczyń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wnęki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co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ułatwiało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precyzyjne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wyznaczenie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zakresu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resekcji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minimalizując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jednocześnie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ryzyko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nadmiernego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krwawienia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zbędnej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utraty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tkanki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D92A09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Dzięki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połączeniu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wymienionych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zaobserwowano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poprawę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wyników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operacji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tym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zwiększoną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precyzję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hemisplenektomii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skrócenie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operacji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czasu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hospitalizacji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odstąpienia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drenażu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loży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operacyjnej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2E515D" w14:textId="77777777" w:rsidR="00125001" w:rsidRPr="00843938" w:rsidRDefault="00125001" w:rsidP="00E50A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39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Nasze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doświadczenie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sugeruje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że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hemisplenektomia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wspomagana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robotem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wykorzystaniem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obrazowania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ICG,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stanowi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bezpieczne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mało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inwazyjne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bardzo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skuteczne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podejście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Ta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kombinacja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tylko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pozwala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zachowanie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optymalnej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ilości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tkanki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ale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również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istotnie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zmniejsza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ryzyko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powikłań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pooperacyjnych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Uważamy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że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ta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metoda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stać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standardem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śledziony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dzieci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oferując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zarówno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lekarzom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jak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młodym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pacjentom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bezpieczniejszą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alternatywę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porównaniu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tradycyjnych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technik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wideochirurgicznych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Prezentowana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seria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przypadków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podkreśla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potencjał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robotycznych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obrazowania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poprawie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wyników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leczenia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chirurgicznego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wybranych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wskazaniach</w:t>
            </w:r>
            <w:proofErr w:type="spellEnd"/>
            <w:r w:rsidRPr="008439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D74DE16" w14:textId="77777777" w:rsidR="00125001" w:rsidRDefault="00125001" w:rsidP="00125001">
      <w:pPr>
        <w:rPr>
          <w:lang w:val="pl-PL"/>
        </w:rPr>
      </w:pPr>
    </w:p>
    <w:p w14:paraId="42E2ABF9" w14:textId="77777777" w:rsidR="00125001" w:rsidRDefault="00125001">
      <w:pPr>
        <w:rPr>
          <w:lang w:val="pl-PL"/>
        </w:rPr>
      </w:pPr>
    </w:p>
    <w:p w14:paraId="1778D44D" w14:textId="77777777" w:rsidR="00125001" w:rsidRDefault="00125001">
      <w:pPr>
        <w:rPr>
          <w:lang w:val="pl-PL"/>
        </w:rPr>
      </w:pPr>
    </w:p>
    <w:p w14:paraId="11754D71" w14:textId="77777777" w:rsidR="00125001" w:rsidRDefault="00125001">
      <w:pPr>
        <w:rPr>
          <w:lang w:val="pl-PL"/>
        </w:rPr>
      </w:pPr>
    </w:p>
    <w:p w14:paraId="5C2895C1" w14:textId="77777777" w:rsidR="00125001" w:rsidRDefault="00125001">
      <w:pPr>
        <w:rPr>
          <w:lang w:val="pl-PL"/>
        </w:rPr>
      </w:pPr>
    </w:p>
    <w:p w14:paraId="1C0605AD" w14:textId="77777777" w:rsidR="00125001" w:rsidRDefault="00125001">
      <w:pPr>
        <w:rPr>
          <w:lang w:val="pl-PL"/>
        </w:rPr>
      </w:pPr>
    </w:p>
    <w:p w14:paraId="194ABE0D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7"/>
        <w:gridCol w:w="4396"/>
        <w:gridCol w:w="1700"/>
        <w:gridCol w:w="2126"/>
      </w:tblGrid>
      <w:tr w:rsidR="00125001" w:rsidRPr="007D27BD" w14:paraId="7ECF05AE" w14:textId="77777777" w:rsidTr="00E50A57">
        <w:trPr>
          <w:trHeight w:hRule="exact" w:val="82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6369B3FD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2AE4BF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C8C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Chirurgiczne leczenie przetok wargi dolnej u pacjentów z zespołem Van der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Woude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(VWS)</w:t>
            </w:r>
          </w:p>
        </w:tc>
      </w:tr>
      <w:tr w:rsidR="00125001" w:rsidRPr="007D27BD" w14:paraId="108FC3AE" w14:textId="77777777" w:rsidTr="00E50A57">
        <w:trPr>
          <w:trHeight w:hRule="exact" w:val="6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6719E7B5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290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Maamon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Jaradat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Łukasz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Wieprzowski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Barbara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Offert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., Zbigniew Surowiec,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Orest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Szczegielski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57FE392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Włodzimierz Piwowar,  Ewa Sawicka. </w:t>
            </w:r>
          </w:p>
          <w:p w14:paraId="4EE3B47B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5001" w:rsidRPr="007D27BD" w14:paraId="064A5178" w14:textId="77777777" w:rsidTr="00E50A57">
        <w:trPr>
          <w:trHeight w:hRule="exact" w:val="70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76529A63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59F9C04C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1905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Instytut Matki i Dziecka , </w:t>
            </w:r>
          </w:p>
          <w:p w14:paraId="57F3C6DB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dzieci i młodzieży</w:t>
            </w:r>
          </w:p>
          <w:p w14:paraId="3E20AAEE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10">
              <w:r w:rsidRPr="007D27BD">
                <w:rPr>
                  <w:rStyle w:val="czeinternetowe"/>
                  <w:rFonts w:asciiTheme="minorHAnsi" w:hAnsiTheme="minorHAnsi" w:cstheme="minorHAnsi"/>
                  <w:sz w:val="20"/>
                  <w:szCs w:val="20"/>
                  <w:lang w:val="pl-PL"/>
                </w:rPr>
                <w:t>jar.maamon@gmail.com</w:t>
              </w:r>
            </w:hyperlink>
            <w:hyperlink>
              <w:r w:rsidRPr="007D27BD"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t xml:space="preserve"> </w:t>
              </w:r>
            </w:hyperlink>
          </w:p>
        </w:tc>
      </w:tr>
      <w:tr w:rsidR="00125001" w:rsidRPr="007D27BD" w14:paraId="20889229" w14:textId="77777777" w:rsidTr="00E50A57">
        <w:trPr>
          <w:trHeight w:hRule="exact" w:val="101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6C24165F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3F7B3A0A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756E7177" w14:textId="77777777" w:rsidR="00125001" w:rsidRPr="007D27BD" w:rsidRDefault="00125001" w:rsidP="00E50A57">
            <w:pPr>
              <w:widowControl w:val="0"/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84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275B49" w14:textId="77777777" w:rsidR="00125001" w:rsidRPr="007D27BD" w:rsidRDefault="00125001" w:rsidP="00E50A57">
            <w:pPr>
              <w:pStyle w:val="Nagwek2"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7D27B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2DE5ACED" w14:textId="77777777" w:rsidR="00125001" w:rsidRPr="007D27BD" w:rsidRDefault="00125001" w:rsidP="00E50A57">
            <w:pPr>
              <w:pStyle w:val="Nagwek2"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7D27B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5F27DCC8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D8F3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5001" w:rsidRPr="007D27BD" w14:paraId="110DCE7F" w14:textId="77777777" w:rsidTr="00E50A57">
        <w:trPr>
          <w:trHeight w:hRule="exact" w:val="95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325BE4FE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C3A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Wprowadzenie:</w:t>
            </w:r>
          </w:p>
          <w:p w14:paraId="099AE6A4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Zespół Van der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Woude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(VWS) to rzadka wada wrodzona charakteryzująca się występowaniem przetok wargi dolnej u pacjentów z rozszczepem wargi i/lub podniebienia. Jest dziedziczona autosomalnie dominująco i stanowi około 2% przypadków. Defekt genetyczny zespołu VWS wynika z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mikrodelecji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chromosomie 1q32-q4. Niedawno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odkryto,że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przyczyną VWS jest mutacja czynnika IRF 6, która może prowadzić również do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hipodoncji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innych anomalii zębowych. </w:t>
            </w:r>
          </w:p>
          <w:p w14:paraId="168ED68E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0C9C92D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 pracy:</w:t>
            </w:r>
          </w:p>
          <w:p w14:paraId="583770AE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Celem badania była ocena skuteczności stosowanego protokołu chirurgicznego w leczeniu przetok wargi dolnej u pacjentów z zespołem Van der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Woude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na podstawie analizy przypadków operowanych w latach 2009-2022.</w:t>
            </w:r>
          </w:p>
          <w:p w14:paraId="61EA98EE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FF9BFF8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Metody:</w:t>
            </w:r>
          </w:p>
          <w:p w14:paraId="2B46814F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Badanie retrospektywne oparte na dokumentacji medycznej obejmowało pacjentów z rozpoznaniem VWS operowanych w jednym ośrodku. Kryteria włączenia obejmowały kliniczne rozpoznanie VWS, wykonanie wszystkich zabiegów chirurgicznych w naszym ośrodku oraz minimum 6-miesięczny okres obserwacji po zabiegu. Zebrano dane dotyczące płci, lokalizacji przetok, rodzaju i rozległości rozszczepu, czasu przeprowadzenia pierwotnych operacji oraz potrzeby wykonania dodatkowych zabiegów korekcyjnych.</w:t>
            </w:r>
          </w:p>
          <w:p w14:paraId="4ADB830C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23F4AE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Wyniki:</w:t>
            </w:r>
          </w:p>
          <w:p w14:paraId="3129A78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Analiza objęła 24 pacjentów, z których u 66% przetoki wargi dolnej występowały obustronnie, a u 34% jednostronnie. Pierwotne zabiegi rekonstrukcji rozszczepu przeprowadzono średnio w wieku 8,6 miesiąca, natomiast przetoki wargi dolnej usunięto średnio w wieku 3 lat. Średnia liczba zabiegów pierwotnych, obejmująca rekonstrukcję rozszczepu oraz usunięcie przetok, wyniosła 2,46. U 37,5% pacjentów konieczne były dodatkowe zabiegi korekcyjne ze względu na niesatysfakcjonujące wyniki estetyczne.</w:t>
            </w:r>
          </w:p>
          <w:p w14:paraId="260CF2E9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9CF9AB4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Wnioski:</w:t>
            </w:r>
          </w:p>
          <w:p w14:paraId="0C6EBEDD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Chirurgiczne leczenie przetok wargi dolnej u pacjentów z zespołem Van der </w:t>
            </w:r>
            <w:proofErr w:type="spellStart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Woude</w:t>
            </w:r>
            <w:proofErr w:type="spellEnd"/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stanowi istotne wyzwanie z perspektywy uzyskania zadowalających efektów estetycznych. konieczność wtórnych zabiegów korekcyjnych wskazuje na trudności w pełnym zrekonstruowaniu wady .</w:t>
            </w:r>
          </w:p>
          <w:p w14:paraId="0F9CE51A" w14:textId="77777777" w:rsidR="00125001" w:rsidRPr="007D27BD" w:rsidRDefault="00125001" w:rsidP="00E50A57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D27B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Zastosowanie protokołu jednoetapowego leczenia rozszczepów pozwala jednak na ograniczenie całkowitej liczby interwencji chirurgicznych, co minimalizuje obciążenie pacjentów i potencjalne ryzyko powikłań.</w:t>
            </w:r>
          </w:p>
        </w:tc>
      </w:tr>
    </w:tbl>
    <w:p w14:paraId="59B78C84" w14:textId="77777777" w:rsidR="00125001" w:rsidRDefault="00125001" w:rsidP="00125001">
      <w:pPr>
        <w:rPr>
          <w:lang w:val="pl-PL"/>
        </w:rPr>
      </w:pPr>
    </w:p>
    <w:p w14:paraId="2E147B4A" w14:textId="77777777" w:rsidR="00125001" w:rsidRDefault="00125001">
      <w:pPr>
        <w:rPr>
          <w:lang w:val="pl-PL"/>
        </w:rPr>
      </w:pPr>
    </w:p>
    <w:p w14:paraId="43827E33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125001" w:rsidRPr="00D071E0" w14:paraId="7BCD6AED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0030450C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071E0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D071E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6D57AA8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56CF59B2" w14:textId="77777777" w:rsidR="00125001" w:rsidRPr="00D071E0" w:rsidRDefault="00125001" w:rsidP="00E50A5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pl-PL"/>
              </w:rPr>
            </w:pPr>
            <w:r w:rsidRPr="00D071E0">
              <w:rPr>
                <w:rFonts w:ascii="Calibri" w:eastAsia="Calibri" w:hAnsi="Calibri"/>
                <w:sz w:val="20"/>
                <w:szCs w:val="20"/>
                <w:lang w:val="pl-PL"/>
              </w:rPr>
              <w:t>Leczenie chirurgiczne zapalenia płuc i opłucnej u dzieci</w:t>
            </w:r>
          </w:p>
          <w:p w14:paraId="6BB0E1A5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D071E0" w14:paraId="1C304625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28C0D32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21E2FDD3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Magdalena Lewandowska, Justyna Kukulska, Paweł </w:t>
            </w:r>
            <w:proofErr w:type="spellStart"/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Polityło</w:t>
            </w:r>
            <w:proofErr w:type="spellEnd"/>
          </w:p>
        </w:tc>
      </w:tr>
      <w:tr w:rsidR="00125001" w:rsidRPr="00D071E0" w14:paraId="0907D21A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02FFBFA7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286824B7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3E55390E" w14:textId="77777777" w:rsidR="0012500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Klinika Chirurgii i Onkologii Dziecięcej Centralny Szpital Kliniczny Uniwersytetu Medycznego w Łodzi</w:t>
            </w: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hyperlink r:id="rId11" w:history="1">
              <w:r w:rsidRPr="002C77D8">
                <w:rPr>
                  <w:rStyle w:val="Hipercze"/>
                  <w:rFonts w:ascii="Calibri" w:hAnsi="Calibri" w:cs="Calibri"/>
                  <w:sz w:val="20"/>
                  <w:szCs w:val="20"/>
                  <w:lang w:val="pl-PL"/>
                </w:rPr>
                <w:t>mlewandosia@o2.pl</w:t>
              </w:r>
            </w:hyperlink>
          </w:p>
          <w:p w14:paraId="667A9DE2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D071E0" w14:paraId="3595CE21" w14:textId="77777777" w:rsidTr="00E50A57">
        <w:trPr>
          <w:trHeight w:hRule="exact" w:val="1012"/>
        </w:trPr>
        <w:tc>
          <w:tcPr>
            <w:tcW w:w="1418" w:type="dxa"/>
            <w:shd w:val="pct20" w:color="auto" w:fill="FFFFFF"/>
          </w:tcPr>
          <w:p w14:paraId="0C13F19C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7428B00E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57F706BD" w14:textId="77777777" w:rsidR="00125001" w:rsidRPr="00D071E0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  <w:vAlign w:val="center"/>
          </w:tcPr>
          <w:p w14:paraId="3ACA7207" w14:textId="77777777" w:rsidR="00125001" w:rsidRPr="00D071E0" w:rsidRDefault="00125001" w:rsidP="00E50A5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03854991" w14:textId="77777777" w:rsidR="00125001" w:rsidRPr="00D071E0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D071E0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2B63FD0B" w14:textId="77777777" w:rsidR="00125001" w:rsidRPr="00D071E0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D071E0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35EF5FC5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3B39DB10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D071E0" w14:paraId="5E87F536" w14:textId="77777777" w:rsidTr="00E50A57">
        <w:trPr>
          <w:trHeight w:hRule="exact" w:val="7220"/>
        </w:trPr>
        <w:tc>
          <w:tcPr>
            <w:tcW w:w="1418" w:type="dxa"/>
            <w:shd w:val="pct20" w:color="auto" w:fill="FFFFFF"/>
          </w:tcPr>
          <w:p w14:paraId="4F118F3F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6FB133C2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Klinice Chirurgii i Onkologii Dziecięcej Centralnego Szpitala Klinicznego UM w Łodzi wprowadzono „Rekomendacje dotyczące leczenia wysięku doopłucnowego u dzieci w przebiegu zapalenia płuc”. Przeanalizowaliśmy przebieg i wyniki leczenia, stosowanie doopłucnowej fibrynolizy, konieczność przeprowadzenia zabiegów chirurgicznych u pacjentów leczonych z powodu zapalenia płuc i opłucnej w okresie od stycznia 2022 do września 2024 roku.</w:t>
            </w:r>
          </w:p>
          <w:p w14:paraId="7C1B8B70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W analizowanym okresie czasu  leczono 28 dzieci z wysiękiem doopłucnowym w przebiegu zapalenia płuc. Najmłodszy pacjent miał 8 miesięcy, najstarszy 17 lat. U 27 pacjentów pierwotnym leczeniem chirurgicznym był drenaż jamy opłucnowej. 24 dzieci otrzymało doopłucnowe leczenie fibrynolityczne. Nie było żadnych powikłań. Łącznie u 4 pacjentów wykonano VATS: u 3 z powodu niepowodzenia dotychczasowego leczenia, u 1 jako postępowanie pierwotne. Średnia długość pobytu w oddziale chirurgicznym wyniosła 9 dni. 2 pacjentów zostało przeniesionych na OIOM bezpośrednio po założeniu drenu do klatki piersiowej. Wszyscy pacjenci zostali wypisani ze szpitala w dobrym stanie ogólnym: 26 z nich przeniesiono do oddziałów pulmonologii dziecięcej celu dalszej rekonwalescencji, 2 dzieci wypisano bezpośrednio do domu.</w:t>
            </w:r>
          </w:p>
          <w:p w14:paraId="47C15288" w14:textId="77777777" w:rsidR="00125001" w:rsidRPr="00D071E0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071E0">
              <w:rPr>
                <w:rFonts w:ascii="Calibri" w:hAnsi="Calibri" w:cs="Calibri"/>
                <w:sz w:val="20"/>
                <w:szCs w:val="20"/>
                <w:lang w:val="pl-PL"/>
              </w:rPr>
              <w:t>Podsumowując, w opisanych przypadkach, doopłucnowa fibrynoliza okazała się skuteczną i bezpieczną metodą leczenia, a VATS, umożliwiając wgląd w całą jamę opłucnową- niezawodną i bezpieczną metodą chirurgiczną. Żadne dziecko nie wymagało resekcji tkanki płucnej. Natomiast rekomendacje pozwoliły ujednolicić postępowanie oraz dały możliwość oceny wyników leczenia.</w:t>
            </w:r>
          </w:p>
        </w:tc>
      </w:tr>
    </w:tbl>
    <w:p w14:paraId="20D6EF3D" w14:textId="77777777" w:rsidR="00125001" w:rsidRPr="005C1A71" w:rsidRDefault="00125001" w:rsidP="00125001">
      <w:pPr>
        <w:rPr>
          <w:lang w:val="pl-PL"/>
        </w:rPr>
      </w:pPr>
    </w:p>
    <w:p w14:paraId="37E5A994" w14:textId="77777777" w:rsidR="00125001" w:rsidRDefault="00125001">
      <w:pPr>
        <w:rPr>
          <w:lang w:val="pl-PL"/>
        </w:rPr>
      </w:pPr>
    </w:p>
    <w:p w14:paraId="70A4A9BC" w14:textId="77777777" w:rsidR="00125001" w:rsidRDefault="00125001">
      <w:pPr>
        <w:rPr>
          <w:lang w:val="pl-PL"/>
        </w:rPr>
      </w:pPr>
    </w:p>
    <w:p w14:paraId="7810826F" w14:textId="77777777" w:rsidR="00125001" w:rsidRDefault="00125001">
      <w:pPr>
        <w:rPr>
          <w:lang w:val="pl-PL"/>
        </w:rPr>
      </w:pPr>
    </w:p>
    <w:p w14:paraId="2C68E751" w14:textId="77777777" w:rsidR="00125001" w:rsidRDefault="00125001">
      <w:pPr>
        <w:rPr>
          <w:lang w:val="pl-PL"/>
        </w:rPr>
      </w:pPr>
    </w:p>
    <w:p w14:paraId="4F7EE62B" w14:textId="77777777" w:rsidR="00125001" w:rsidRDefault="00125001">
      <w:pPr>
        <w:rPr>
          <w:lang w:val="pl-PL"/>
        </w:rPr>
      </w:pPr>
    </w:p>
    <w:p w14:paraId="5250CDFF" w14:textId="77777777" w:rsidR="00125001" w:rsidRDefault="00125001">
      <w:pPr>
        <w:rPr>
          <w:lang w:val="pl-PL"/>
        </w:rPr>
      </w:pPr>
    </w:p>
    <w:p w14:paraId="00FB8954" w14:textId="77777777" w:rsidR="00125001" w:rsidRDefault="00125001">
      <w:pPr>
        <w:rPr>
          <w:lang w:val="pl-PL"/>
        </w:rPr>
      </w:pPr>
    </w:p>
    <w:p w14:paraId="4CD01F40" w14:textId="77777777" w:rsidR="00125001" w:rsidRDefault="00125001">
      <w:pPr>
        <w:rPr>
          <w:lang w:val="pl-PL"/>
        </w:rPr>
      </w:pPr>
    </w:p>
    <w:p w14:paraId="674BBBE1" w14:textId="77777777" w:rsidR="00125001" w:rsidRDefault="00125001">
      <w:pPr>
        <w:rPr>
          <w:lang w:val="pl-PL"/>
        </w:rPr>
      </w:pPr>
    </w:p>
    <w:p w14:paraId="037C53AA" w14:textId="77777777" w:rsidR="00125001" w:rsidRDefault="00125001" w:rsidP="00125001">
      <w:pPr>
        <w:pStyle w:val="Nagwek1"/>
      </w:pPr>
    </w:p>
    <w:tbl>
      <w:tblPr>
        <w:tblW w:w="9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4454"/>
        <w:gridCol w:w="1724"/>
        <w:gridCol w:w="2155"/>
      </w:tblGrid>
      <w:tr w:rsidR="00125001" w:rsidRPr="00D169F6" w14:paraId="2821E38F" w14:textId="77777777" w:rsidTr="00E50A57">
        <w:trPr>
          <w:trHeight w:hRule="exact" w:val="800"/>
        </w:trPr>
        <w:tc>
          <w:tcPr>
            <w:tcW w:w="1437" w:type="dxa"/>
            <w:shd w:val="pct20" w:color="auto" w:fill="FFFFFF"/>
          </w:tcPr>
          <w:p w14:paraId="53A24386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3055050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3" w:type="dxa"/>
            <w:gridSpan w:val="3"/>
          </w:tcPr>
          <w:p w14:paraId="4DE6BE5D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Konieczność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przedłużonego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drenażu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okołonerkowego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po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operacjach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oszczędzających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nerkę</w:t>
            </w:r>
            <w:proofErr w:type="spellEnd"/>
          </w:p>
        </w:tc>
      </w:tr>
      <w:tr w:rsidR="00125001" w:rsidRPr="00D169F6" w14:paraId="17369FAA" w14:textId="77777777" w:rsidTr="00E50A57">
        <w:trPr>
          <w:trHeight w:hRule="exact" w:val="622"/>
        </w:trPr>
        <w:tc>
          <w:tcPr>
            <w:tcW w:w="1437" w:type="dxa"/>
            <w:shd w:val="pct20" w:color="auto" w:fill="FFFFFF"/>
          </w:tcPr>
          <w:p w14:paraId="37239C66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333" w:type="dxa"/>
            <w:gridSpan w:val="3"/>
          </w:tcPr>
          <w:p w14:paraId="6C33B86A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Matuszewska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M.M.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  <w:r w:rsidRPr="00D169F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Rapala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M.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  <w:r w:rsidRPr="00D169F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Dachowska-Kałwak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I.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D169F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Lyzwa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M.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D169F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Pietras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W.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D169F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Godziński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J.</w:t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</w:rPr>
              <w:t>1,3</w:t>
            </w:r>
          </w:p>
        </w:tc>
      </w:tr>
      <w:tr w:rsidR="00125001" w:rsidRPr="00D169F6" w14:paraId="70F6B212" w14:textId="77777777" w:rsidTr="00E50A57">
        <w:trPr>
          <w:trHeight w:hRule="exact" w:val="1388"/>
        </w:trPr>
        <w:tc>
          <w:tcPr>
            <w:tcW w:w="1437" w:type="dxa"/>
            <w:shd w:val="pct20" w:color="auto" w:fill="FFFFFF"/>
          </w:tcPr>
          <w:p w14:paraId="2597F8A1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5229F0FC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333" w:type="dxa"/>
            <w:gridSpan w:val="3"/>
          </w:tcPr>
          <w:p w14:paraId="2E0ECBBD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1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Oddział Chirurgii Dziecięcej, Dolnośląski Szpital Specjalistyczny im. T. Marciniaka, Wrocław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2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Klinika Transplantacji Szpiku, Onkologii i Hematologii Dziecięcej, Uniwersytet Medyczny, Wrocław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D169F6">
              <w:rPr>
                <w:rFonts w:ascii="Calibri" w:hAnsi="Calibri" w:cs="Calibri"/>
                <w:sz w:val="20"/>
                <w:szCs w:val="20"/>
                <w:vertAlign w:val="superscript"/>
                <w:lang w:val="pl-PL"/>
              </w:rPr>
              <w:t>3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Zakład Traumatologii i Medycyny Ratunkowej Wieku Rozwojowego, Uniwersytet Medyczny, Wrocław</w:t>
            </w:r>
          </w:p>
          <w:p w14:paraId="08AAE37C" w14:textId="77777777" w:rsidR="0012500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2" w:history="1">
              <w:r w:rsidRPr="00196FBD">
                <w:rPr>
                  <w:rStyle w:val="Hipercze"/>
                  <w:rFonts w:ascii="Calibri" w:hAnsi="Calibri" w:cs="Calibri"/>
                  <w:sz w:val="20"/>
                  <w:szCs w:val="20"/>
                  <w:lang w:val="pl-PL"/>
                </w:rPr>
                <w:t>mag.matuszka@gmail.com</w:t>
              </w:r>
            </w:hyperlink>
          </w:p>
          <w:p w14:paraId="1EE5CD03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D169F6" w14:paraId="7A654CE6" w14:textId="77777777" w:rsidTr="00E50A57">
        <w:trPr>
          <w:trHeight w:hRule="exact" w:val="936"/>
        </w:trPr>
        <w:tc>
          <w:tcPr>
            <w:tcW w:w="1437" w:type="dxa"/>
            <w:shd w:val="pct20" w:color="auto" w:fill="FFFFFF"/>
          </w:tcPr>
          <w:p w14:paraId="431A4F67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63650DCA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36CEE363" w14:textId="77777777" w:rsidR="00125001" w:rsidRPr="00D169F6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454" w:type="dxa"/>
          </w:tcPr>
          <w:p w14:paraId="39F6211C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4" w:type="dxa"/>
            <w:shd w:val="clear" w:color="auto" w:fill="C0C0C0"/>
          </w:tcPr>
          <w:p w14:paraId="32610856" w14:textId="77777777" w:rsidR="00125001" w:rsidRPr="00D169F6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D169F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4F89AAED" w14:textId="77777777" w:rsidR="00125001" w:rsidRPr="00D169F6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D169F6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6F6F1E36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plakat</w:t>
            </w:r>
          </w:p>
        </w:tc>
        <w:tc>
          <w:tcPr>
            <w:tcW w:w="2155" w:type="dxa"/>
          </w:tcPr>
          <w:p w14:paraId="14E6EED6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  X</w:t>
            </w:r>
          </w:p>
        </w:tc>
      </w:tr>
      <w:tr w:rsidR="00125001" w:rsidRPr="00D169F6" w14:paraId="2EC3757A" w14:textId="77777777" w:rsidTr="00E50A57">
        <w:trPr>
          <w:trHeight w:hRule="exact" w:val="7937"/>
        </w:trPr>
        <w:tc>
          <w:tcPr>
            <w:tcW w:w="1437" w:type="dxa"/>
            <w:shd w:val="pct20" w:color="auto" w:fill="FFFFFF"/>
          </w:tcPr>
          <w:p w14:paraId="1B44067F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333" w:type="dxa"/>
            <w:gridSpan w:val="3"/>
          </w:tcPr>
          <w:p w14:paraId="1BBA0231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Wprowadzenie i Cel</w:t>
            </w:r>
          </w:p>
          <w:p w14:paraId="49F2D34A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Chirurgia oszczędzająca nerkę (NSS) u dzieci jest kluczową metodą leczenia guzów nerek, pozwalającą na zachowanie funkcji nerek. Konieczność stosowania drenażu po NSS u dzieci nadal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pozostaje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kwestią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</w:rPr>
              <w:t>sporną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. Celem badania była ocena zasadności stosowania przedłużonego drenażu po NSS u dzieci ze wskazaniami onkologicznymi.</w:t>
            </w:r>
          </w:p>
          <w:p w14:paraId="03A08E49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17F362D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Metody</w:t>
            </w:r>
          </w:p>
          <w:p w14:paraId="484E23E7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Analiza retrospektywna objęła 37 pacjentów pediatrycznych (20 dziewczynek, 17 chłopców; wiek: 1 miesiąc do 17,6 lat, mediana=38,7 miesiąca), u których wykonano 40 NSS z powodów onkologicznych w okresie od stycznia 2019 do grudnia 2023 roku. Pacjentów podzielono na trzy grupy w zależności od długości drenażu pooperacyjnego: brak drenażu (11 pacjentów), drenaż krótkoterminowy (≤ 3 dni – 6 pacjentów) i drenaż długoterminowy (&gt; 3 dni – 23 pacjentów).</w:t>
            </w:r>
          </w:p>
          <w:p w14:paraId="78C440A9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BF19B3E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Wyniki</w:t>
            </w:r>
          </w:p>
          <w:p w14:paraId="1EDD5924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Porównanie pacjentów bez drenażu lub z drenażem krótkoterminowym oraz pacjentów z drenażem długoterminowym pod kątem przebiegu pooperacyjnego nie wykazało istotnych różnic w analizowanych komplikacjach lub czynnikach, takich jak uszkodzenie moczowodu lub zastosowanie cewnika </w:t>
            </w:r>
            <w:proofErr w:type="spellStart"/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double</w:t>
            </w:r>
            <w:proofErr w:type="spellEnd"/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-J (p=0,499), otwarcie połączenia moczowodowo-nerkowego (p=0,428), użycie ultradźwiękowego aspiratora chirurgicznego (p=0,999), uszkodzenie dodatkowych naczyń/moczowodów (p=0,999), otwarcie przepony (p=0,999), usunięcie przerzutów do wątroby (p=0,999), utrata krwi powyżej 500 ml (p=0,425), pierwsze i kolejne wejście do jamy brzusznej (p=0,999), wiek w miesiącach (p=0,448) oraz czas hospitalizacji po NSS (p=0,0548).</w:t>
            </w:r>
          </w:p>
          <w:p w14:paraId="2CB175B9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EFE042A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Wnioski</w:t>
            </w:r>
          </w:p>
          <w:p w14:paraId="61F27D72" w14:textId="77777777" w:rsidR="00125001" w:rsidRPr="00D169F6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D169F6">
              <w:rPr>
                <w:rFonts w:ascii="Calibri" w:hAnsi="Calibri" w:cs="Calibri"/>
                <w:sz w:val="20"/>
                <w:szCs w:val="20"/>
                <w:lang w:val="pl-PL"/>
              </w:rPr>
              <w:t>Nasze wyniki sugerują, że drenaż pooperacyjny może nie być konieczny po NSS u dzieci z powodów onkologicznych. Nie zaobserwowano istotnych różnic w przebiegu pooperacyjnym między pacjentami z różnym czasem trwania drenażu. W związku z tym rutynowe stosowanie drenów może wymagać ponownego rozważenia w celu poprawy komfortu pacjentów. Konieczne są dalsze badania prospektywne, aby potwierdzić te wyniki i opracować wytyczne oparte na dowodach w zakresie stosowania drenażu w NSS u dzieci.</w:t>
            </w:r>
          </w:p>
        </w:tc>
      </w:tr>
    </w:tbl>
    <w:p w14:paraId="1B7E94DA" w14:textId="77777777" w:rsidR="00125001" w:rsidRPr="005C1A71" w:rsidRDefault="00125001" w:rsidP="00125001">
      <w:pPr>
        <w:rPr>
          <w:lang w:val="pl-PL"/>
        </w:rPr>
      </w:pPr>
    </w:p>
    <w:p w14:paraId="5F73A60A" w14:textId="77777777" w:rsidR="00125001" w:rsidRDefault="00125001">
      <w:pPr>
        <w:rPr>
          <w:lang w:val="pl-PL"/>
        </w:rPr>
      </w:pPr>
    </w:p>
    <w:p w14:paraId="62212644" w14:textId="77777777" w:rsidR="00125001" w:rsidRDefault="00125001">
      <w:pPr>
        <w:rPr>
          <w:lang w:val="pl-PL"/>
        </w:rPr>
      </w:pPr>
    </w:p>
    <w:p w14:paraId="2CC5EBF3" w14:textId="77777777" w:rsidR="00125001" w:rsidRDefault="00125001">
      <w:pPr>
        <w:rPr>
          <w:lang w:val="pl-PL"/>
        </w:rPr>
      </w:pPr>
    </w:p>
    <w:p w14:paraId="3FF99CAC" w14:textId="77777777" w:rsidR="00125001" w:rsidRDefault="00125001">
      <w:pPr>
        <w:rPr>
          <w:lang w:val="pl-PL"/>
        </w:rPr>
      </w:pPr>
    </w:p>
    <w:p w14:paraId="65FC52B1" w14:textId="77777777" w:rsidR="00125001" w:rsidRDefault="00125001">
      <w:pPr>
        <w:rPr>
          <w:lang w:val="pl-PL"/>
        </w:rPr>
      </w:pPr>
    </w:p>
    <w:p w14:paraId="29847712" w14:textId="77777777" w:rsidR="00125001" w:rsidRDefault="00125001" w:rsidP="00125001">
      <w:pPr>
        <w:pStyle w:val="Nagwek1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089"/>
        <w:gridCol w:w="2014"/>
        <w:gridCol w:w="1874"/>
      </w:tblGrid>
      <w:tr w:rsidR="00125001" w:rsidRPr="00955C51" w14:paraId="67A00321" w14:textId="77777777" w:rsidTr="00E50A57">
        <w:trPr>
          <w:trHeight w:hRule="exact" w:val="822"/>
        </w:trPr>
        <w:tc>
          <w:tcPr>
            <w:tcW w:w="1951" w:type="dxa"/>
            <w:shd w:val="pct20" w:color="auto" w:fill="FFFFFF"/>
          </w:tcPr>
          <w:p w14:paraId="59D8A7D5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55C51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7AB7C5B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77" w:type="dxa"/>
            <w:gridSpan w:val="3"/>
          </w:tcPr>
          <w:p w14:paraId="38CE9111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Wstępne wyniki leczenia u pacjentów z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operac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ją typu </w:t>
            </w: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Meso-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Rex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Bypass. </w:t>
            </w:r>
          </w:p>
        </w:tc>
      </w:tr>
      <w:tr w:rsidR="00125001" w:rsidRPr="00955C51" w14:paraId="0C424FB2" w14:textId="77777777" w:rsidTr="00E50A57">
        <w:trPr>
          <w:trHeight w:hRule="exact" w:val="737"/>
        </w:trPr>
        <w:tc>
          <w:tcPr>
            <w:tcW w:w="1951" w:type="dxa"/>
            <w:shd w:val="pct20" w:color="auto" w:fill="FFFFFF"/>
          </w:tcPr>
          <w:p w14:paraId="00A4ED8C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6977" w:type="dxa"/>
            <w:gridSpan w:val="3"/>
          </w:tcPr>
          <w:p w14:paraId="5239BE31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M.Stefanowicz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A.Kowalski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D.Broniszczak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G.Kowalewski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M.Szymczak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P.Rago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A.Koleśnik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E.Kocot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P.Kaliciński</w:t>
            </w:r>
            <w:proofErr w:type="spellEnd"/>
          </w:p>
        </w:tc>
      </w:tr>
      <w:tr w:rsidR="00125001" w:rsidRPr="00955C51" w14:paraId="0B588443" w14:textId="77777777" w:rsidTr="00E50A57">
        <w:trPr>
          <w:trHeight w:hRule="exact" w:val="706"/>
        </w:trPr>
        <w:tc>
          <w:tcPr>
            <w:tcW w:w="1951" w:type="dxa"/>
            <w:shd w:val="pct20" w:color="auto" w:fill="FFFFFF"/>
          </w:tcPr>
          <w:p w14:paraId="66F82233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5844E3C1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6977" w:type="dxa"/>
            <w:gridSpan w:val="3"/>
          </w:tcPr>
          <w:p w14:paraId="65E24C29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Instytut-Pomnik Centrum Zdrowia Dziecka w Warszawie,</w:t>
            </w:r>
          </w:p>
          <w:p w14:paraId="3590B40F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m.stefanowicz@ipczd.pl</w:t>
            </w:r>
          </w:p>
        </w:tc>
      </w:tr>
      <w:tr w:rsidR="00125001" w:rsidRPr="00955C51" w14:paraId="1D4199E5" w14:textId="77777777" w:rsidTr="00E50A57">
        <w:trPr>
          <w:trHeight w:hRule="exact" w:val="996"/>
        </w:trPr>
        <w:tc>
          <w:tcPr>
            <w:tcW w:w="1951" w:type="dxa"/>
            <w:shd w:val="pct20" w:color="auto" w:fill="FFFFFF"/>
          </w:tcPr>
          <w:p w14:paraId="5DD6A587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0E9905CF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1F80A0E8" w14:textId="77777777" w:rsidR="00125001" w:rsidRPr="00955C51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3089" w:type="dxa"/>
          </w:tcPr>
          <w:p w14:paraId="24A99B6E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2014" w:type="dxa"/>
            <w:shd w:val="clear" w:color="auto" w:fill="C0C0C0"/>
          </w:tcPr>
          <w:p w14:paraId="19BC98D0" w14:textId="77777777" w:rsidR="00125001" w:rsidRPr="00955C51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955C51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733F32D5" w14:textId="77777777" w:rsidR="00125001" w:rsidRPr="00955C51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955C51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5A8E1C53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1874" w:type="dxa"/>
          </w:tcPr>
          <w:p w14:paraId="18E17B3D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955C51" w14:paraId="1DDAB1B0" w14:textId="77777777" w:rsidTr="00E50A57">
        <w:trPr>
          <w:trHeight w:hRule="exact" w:val="7718"/>
        </w:trPr>
        <w:tc>
          <w:tcPr>
            <w:tcW w:w="1951" w:type="dxa"/>
            <w:shd w:val="pct20" w:color="auto" w:fill="FFFFFF"/>
          </w:tcPr>
          <w:p w14:paraId="78B9ABA6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6977" w:type="dxa"/>
            <w:gridSpan w:val="3"/>
          </w:tcPr>
          <w:p w14:paraId="05FAE7C2" w14:textId="77777777" w:rsidR="00125001" w:rsidRPr="00955C51" w:rsidRDefault="00125001" w:rsidP="00E50A57">
            <w:pPr>
              <w:ind w:left="3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 pacjentów z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spowodowanym zakrzepicą żyły standardem postępowania jest operacja Meso-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Rex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Bypass (MRB) polegająca na połączenie spływu żyły krezkowej górnej i śledzionowej z lewa gałęzią żyły wrotnej za pomocą wstawki żylnej. Operacja MRB powoduje ustąpienie powikłań spowodowanych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0599B90C" w14:textId="77777777" w:rsidR="00125001" w:rsidRPr="00955C51" w:rsidRDefault="00125001" w:rsidP="00E50A57">
            <w:pPr>
              <w:ind w:left="3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Materiał i metoda: Cel pracy jest prezentacja wstępnych wyników leczenia dziewięciu pacjentów z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u których wykonaliśmy operacje MRB. ). U wszystkich pacjentów wykonano przed operacją tomografię komputerową, w której stwierdzono drożną żyłę krezkowa górną i śledzionową z widocznym połączeniem naczyń oraz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retroportografię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wsteczną uwidaczniając drożny układ wrotny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wewnatrzwątrobowy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14:paraId="755CC458" w14:textId="77777777" w:rsidR="00125001" w:rsidRPr="00955C51" w:rsidRDefault="00125001" w:rsidP="00E50A57">
            <w:pPr>
              <w:ind w:left="3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Wyniki: Dziewięciu pacjentów w wieku XXX lat z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spowodowanym zakrzepicą żyły wrotnej, z powikłaniami nadciśnienia wrotnego (splenomegalia z hipersplenizmem, żylaki przełyku. Jeden pacjent miał nadciśnienie płucne spowodowane. U wszystkich pacjentów wykonano operację MRB z wykorzystaniem wstawki z żyły szyjnej wewnętrznej lewej, bez powikłań śródoperacyjnych. U jednego pacjenta w okresie pooperacyjnym wystąpił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chłonkotok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u jednego zakażenie uogólnione. U pięciu pacjentów stwierdzono zwężenie w miejscu zespolenia wstawki, co objawiało się spadkiem liczby płytek krwi oraz przyśpieszeniem przepływu w miejscu zespolenia w badaniu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doplerowskim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Po potwierdzeniu obecności zwężenia w tomografii komputerowej wykonano u nich przezskórne rozszerzanie zwężenia z dobrym efektem. U wszystkich pacjentów przepływy przez zespolenia są prawidłowe. U wszystkich pacjentów obserwowano ustąpienie małopłytkowości, u siedmiu zmniejszenie śledziony. </w:t>
            </w:r>
          </w:p>
          <w:p w14:paraId="02E54CA6" w14:textId="77777777" w:rsidR="00125001" w:rsidRPr="00955C51" w:rsidRDefault="00125001" w:rsidP="00E50A57">
            <w:pPr>
              <w:ind w:left="36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Wnioski: Operacja MRB przywraca fizjologiczny przepływ krwi z układu wrotnego przez wątrobę i powoduje leczenie powikłań nadciśnienia wrotnego. Kluczowe w powodzeniu operacji MRB jest prawidłowa kwalifikacja pacjentów z blokiem </w:t>
            </w:r>
            <w:proofErr w:type="spellStart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>przedwątrobowym</w:t>
            </w:r>
            <w:proofErr w:type="spellEnd"/>
            <w:r w:rsidRPr="00955C5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oraz stała kontrola radiologiczna pozwalająca na wczesne rozpoznanie zwężeń w miejscu zespolenia.</w:t>
            </w:r>
          </w:p>
          <w:p w14:paraId="31BA2657" w14:textId="77777777" w:rsidR="00125001" w:rsidRPr="00955C51" w:rsidRDefault="00125001" w:rsidP="00E50A57">
            <w:pPr>
              <w:ind w:left="36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4D5DADA0" w14:textId="77777777" w:rsidR="00125001" w:rsidRPr="00955C51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69DF6941" w14:textId="77777777" w:rsidR="00125001" w:rsidRPr="005C1A71" w:rsidRDefault="00125001" w:rsidP="00125001">
      <w:pPr>
        <w:rPr>
          <w:lang w:val="pl-PL"/>
        </w:rPr>
      </w:pPr>
    </w:p>
    <w:p w14:paraId="1BFD32D6" w14:textId="77777777" w:rsidR="00125001" w:rsidRDefault="00125001">
      <w:pPr>
        <w:rPr>
          <w:lang w:val="pl-PL"/>
        </w:rPr>
      </w:pPr>
    </w:p>
    <w:p w14:paraId="3AD5C4EB" w14:textId="77777777" w:rsidR="00125001" w:rsidRDefault="00125001">
      <w:pPr>
        <w:rPr>
          <w:lang w:val="pl-PL"/>
        </w:rPr>
      </w:pPr>
    </w:p>
    <w:p w14:paraId="35F05133" w14:textId="77777777" w:rsidR="00125001" w:rsidRDefault="00125001">
      <w:pPr>
        <w:rPr>
          <w:lang w:val="pl-PL"/>
        </w:rPr>
      </w:pPr>
    </w:p>
    <w:p w14:paraId="5F67E598" w14:textId="77777777" w:rsidR="00125001" w:rsidRDefault="00125001">
      <w:pPr>
        <w:rPr>
          <w:lang w:val="pl-PL"/>
        </w:rPr>
      </w:pPr>
    </w:p>
    <w:p w14:paraId="2FDFF0C8" w14:textId="77777777" w:rsidR="00125001" w:rsidRDefault="00125001">
      <w:pPr>
        <w:rPr>
          <w:lang w:val="pl-PL"/>
        </w:rPr>
      </w:pPr>
    </w:p>
    <w:p w14:paraId="3D24E619" w14:textId="77777777" w:rsidR="00125001" w:rsidRDefault="00125001">
      <w:pPr>
        <w:rPr>
          <w:lang w:val="pl-PL"/>
        </w:rPr>
      </w:pPr>
    </w:p>
    <w:p w14:paraId="4B9C24D3" w14:textId="77777777" w:rsidR="00125001" w:rsidRDefault="00125001">
      <w:pPr>
        <w:rPr>
          <w:lang w:val="pl-PL"/>
        </w:rPr>
      </w:pPr>
    </w:p>
    <w:p w14:paraId="62E2ACF5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125001" w:rsidRPr="00B84E75" w14:paraId="0F714C0B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2D1212D7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84E75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96981CC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4FA531B8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Procedura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SiLaC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LEPSIT w leczeniu torbieli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pilonidalnych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: czego nauczyliśmy się w ciągu 2 lat operacji w Klinice Chirurgii Dziecięcej w Kielcach</w:t>
            </w:r>
          </w:p>
        </w:tc>
      </w:tr>
      <w:tr w:rsidR="00125001" w:rsidRPr="00B84E75" w14:paraId="7FB9D5B1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087F0091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0B45617E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Łukasz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Władyszewski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, Przemysław Wolak, Maciej Lewandowski, Ilona Piotrowska, Joanna Wróbel, Katarzyna Słowińska, Agata Mikołajczyk, Amelia Wardak</w:t>
            </w:r>
          </w:p>
        </w:tc>
      </w:tr>
      <w:tr w:rsidR="00125001" w:rsidRPr="00B84E75" w14:paraId="438767EC" w14:textId="77777777" w:rsidTr="00E50A57">
        <w:trPr>
          <w:trHeight w:hRule="exact" w:val="576"/>
        </w:trPr>
        <w:tc>
          <w:tcPr>
            <w:tcW w:w="1418" w:type="dxa"/>
            <w:shd w:val="pct20" w:color="auto" w:fill="FFFFFF"/>
          </w:tcPr>
          <w:p w14:paraId="1747ECFA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3D5AE818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6386C02D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Klinika Chirurgii Dziecięcej, Urologii i Traumatologii w Kielcach</w:t>
            </w:r>
          </w:p>
        </w:tc>
      </w:tr>
      <w:tr w:rsidR="00125001" w:rsidRPr="00B84E75" w14:paraId="1CBB25C4" w14:textId="77777777" w:rsidTr="00E50A57">
        <w:trPr>
          <w:trHeight w:hRule="exact" w:val="995"/>
        </w:trPr>
        <w:tc>
          <w:tcPr>
            <w:tcW w:w="1418" w:type="dxa"/>
            <w:shd w:val="pct20" w:color="auto" w:fill="FFFFFF"/>
          </w:tcPr>
          <w:p w14:paraId="3CAA9FF4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78C71799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08E13F1F" w14:textId="77777777" w:rsidR="00125001" w:rsidRPr="00B84E75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443F4986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701" w:type="dxa"/>
            <w:shd w:val="clear" w:color="auto" w:fill="C0C0C0"/>
          </w:tcPr>
          <w:p w14:paraId="4AF47B89" w14:textId="77777777" w:rsidR="00125001" w:rsidRPr="00B84E75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B84E75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20341927" w14:textId="77777777" w:rsidR="00125001" w:rsidRPr="00B84E75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B84E75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09B5B39B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1AB7EAE5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25001" w:rsidRPr="00B84E75" w14:paraId="5EB0F916" w14:textId="77777777" w:rsidTr="00E50A57">
        <w:trPr>
          <w:trHeight w:hRule="exact" w:val="6664"/>
        </w:trPr>
        <w:tc>
          <w:tcPr>
            <w:tcW w:w="1418" w:type="dxa"/>
            <w:shd w:val="pct20" w:color="auto" w:fill="FFFFFF"/>
          </w:tcPr>
          <w:p w14:paraId="52A48A1F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0D53B0C4" w14:textId="77777777" w:rsidR="00125001" w:rsidRPr="00B84E75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Celem tej prezentacji jest przedstawienie doświadczeń zebranych przez dwa lata w Klinice Chirurgii Dziecięcej, Urologii i Traumatologii w Kielcach dotyczących leczenia torbieli włosowej u dzieci techniką z użyciem lasera radialnego (metoda SILAC) oraz z użyciem techniki z użyciem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wideoskopu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(Laser-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assisted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PEPSiT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) oraz opisanie wskazówek i trików tych technik. Przeprowadziliśmy retrospektywną analizę wszystkich pacjentów operowanych w naszym ośrodku w latach 2022 – 2024. Operowanych pacjentów podzieliliśmy na 2 grupy: operowanych z pomocą lasera radialnego bez użycia technik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wideoskopowych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operowanych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operowanych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pomocą lasera radialnego z zastosowaniem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wideoskopii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. Obie grupy pacjentów porównaliśmy z podobną grupą pacjentów operowanych w latach 2021-2024 metodą klasyczną poprzez wycięcie i pierwotne zamknięcie rany. W badaniu oceniano wskaźnik powodzenia, czas gojenia, satysfakcję pacjentów, oraz najczęstsze powikłania pooperacyjne w trakcie opieki ambulatoryjnej. W ciągu 2 lat metodą SILAC wykonaliśmy łącznie 18 zabiegów oraz metodą LEPSIT 13 zabiegów. Zebrane przez nas dane podkreślają konieczność stosowania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wideoskopii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wykazują przewagę technik z użyciem lasera radialnego nad powszechnie stosowaną techniką klasycznego wycięcia torbieli. Mamy nadzieję że przedstawione przez nas wskazówki będą przydatne dla innych Chirurgów Dziecięcych chcących udoskonalić metody leczenia torbieli </w:t>
            </w:r>
            <w:proofErr w:type="spellStart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pilonidalnych</w:t>
            </w:r>
            <w:proofErr w:type="spellEnd"/>
            <w:r w:rsidRPr="00B84E75">
              <w:rPr>
                <w:rFonts w:ascii="Calibri" w:hAnsi="Calibri" w:cs="Calibri"/>
                <w:sz w:val="20"/>
                <w:szCs w:val="20"/>
                <w:lang w:val="pl-PL"/>
              </w:rPr>
              <w:t>, zwiększyć ich skuteczność i poprawić komfort pacjentów</w:t>
            </w:r>
          </w:p>
        </w:tc>
      </w:tr>
    </w:tbl>
    <w:p w14:paraId="4650AF70" w14:textId="77777777" w:rsidR="00125001" w:rsidRPr="005C1A71" w:rsidRDefault="00125001" w:rsidP="00125001">
      <w:pPr>
        <w:rPr>
          <w:lang w:val="pl-PL"/>
        </w:rPr>
      </w:pPr>
    </w:p>
    <w:p w14:paraId="403D8107" w14:textId="77777777" w:rsidR="00125001" w:rsidRDefault="00125001">
      <w:pPr>
        <w:rPr>
          <w:lang w:val="pl-PL"/>
        </w:rPr>
      </w:pPr>
    </w:p>
    <w:p w14:paraId="20672B7D" w14:textId="77777777" w:rsidR="00125001" w:rsidRDefault="00125001">
      <w:pPr>
        <w:rPr>
          <w:lang w:val="pl-PL"/>
        </w:rPr>
      </w:pPr>
    </w:p>
    <w:p w14:paraId="30FC1F0C" w14:textId="77777777" w:rsidR="00125001" w:rsidRDefault="00125001">
      <w:pPr>
        <w:rPr>
          <w:lang w:val="pl-PL"/>
        </w:rPr>
      </w:pPr>
    </w:p>
    <w:p w14:paraId="533FD185" w14:textId="77777777" w:rsidR="00125001" w:rsidRDefault="00125001">
      <w:pPr>
        <w:rPr>
          <w:lang w:val="pl-PL"/>
        </w:rPr>
      </w:pPr>
    </w:p>
    <w:p w14:paraId="5255C411" w14:textId="77777777" w:rsidR="00125001" w:rsidRDefault="00125001">
      <w:pPr>
        <w:rPr>
          <w:lang w:val="pl-PL"/>
        </w:rPr>
      </w:pPr>
    </w:p>
    <w:p w14:paraId="3F4F9778" w14:textId="77777777" w:rsidR="00125001" w:rsidRDefault="00125001">
      <w:pPr>
        <w:rPr>
          <w:lang w:val="pl-PL"/>
        </w:rPr>
      </w:pPr>
    </w:p>
    <w:p w14:paraId="6B72A185" w14:textId="77777777" w:rsidR="00125001" w:rsidRDefault="00125001">
      <w:pPr>
        <w:rPr>
          <w:lang w:val="pl-PL"/>
        </w:rPr>
      </w:pPr>
    </w:p>
    <w:p w14:paraId="27AB5DBC" w14:textId="77777777" w:rsidR="00125001" w:rsidRDefault="00125001">
      <w:pPr>
        <w:rPr>
          <w:lang w:val="pl-PL"/>
        </w:rPr>
      </w:pPr>
    </w:p>
    <w:p w14:paraId="7437B6DB" w14:textId="77777777" w:rsidR="00125001" w:rsidRDefault="00125001">
      <w:pPr>
        <w:rPr>
          <w:lang w:val="pl-PL"/>
        </w:rPr>
      </w:pPr>
    </w:p>
    <w:p w14:paraId="186EED4B" w14:textId="77777777" w:rsidR="00125001" w:rsidRDefault="00125001">
      <w:pPr>
        <w:rPr>
          <w:lang w:val="pl-PL"/>
        </w:rPr>
      </w:pPr>
    </w:p>
    <w:p w14:paraId="729201ED" w14:textId="77777777" w:rsidR="00125001" w:rsidRDefault="00125001">
      <w:pPr>
        <w:rPr>
          <w:lang w:val="pl-PL"/>
        </w:rPr>
      </w:pPr>
    </w:p>
    <w:p w14:paraId="6660DD54" w14:textId="77777777" w:rsidR="00125001" w:rsidRDefault="00125001">
      <w:pPr>
        <w:rPr>
          <w:lang w:val="pl-PL"/>
        </w:rPr>
      </w:pPr>
    </w:p>
    <w:p w14:paraId="6ABC35CB" w14:textId="77777777" w:rsidR="00125001" w:rsidRDefault="00125001" w:rsidP="00125001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125001" w:rsidRPr="00714402" w14:paraId="62A9304A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5168AB73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14402">
              <w:rPr>
                <w:rFonts w:ascii="Calibri" w:hAnsi="Calibri" w:cs="Calibri"/>
                <w:sz w:val="20"/>
                <w:szCs w:val="20"/>
              </w:rPr>
              <w:t>Tytuł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7863A89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338078DB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Zabiegi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robotyczne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wykonane w Klinice Chirurgii i Urologii Dzieci i Młodzieży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GUMed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– podsumowanie pierwszych doświadczeń</w:t>
            </w:r>
          </w:p>
        </w:tc>
      </w:tr>
      <w:tr w:rsidR="00125001" w:rsidRPr="00714402" w14:paraId="0C3158E4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0FAE72B5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32734BD8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Tomasz Witowski, Grzegorz Kawałek, Marcin Łosin, Andrzej Gołębiewski, Piotr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Czauderna</w:t>
            </w:r>
            <w:proofErr w:type="spellEnd"/>
          </w:p>
        </w:tc>
      </w:tr>
      <w:tr w:rsidR="00125001" w:rsidRPr="00714402" w14:paraId="4F495120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5C2BD7E0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Ośrodek:</w:t>
            </w:r>
          </w:p>
          <w:p w14:paraId="19059D4B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077015D3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Katedra i Klinika Chirurgii i Urologii Dzieci i Młodzieży Gdańskiego Uniwersytetu Medycznego</w:t>
            </w:r>
          </w:p>
          <w:p w14:paraId="7201EF61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tomek.witowski@gmail.com</w:t>
            </w:r>
          </w:p>
        </w:tc>
      </w:tr>
      <w:tr w:rsidR="00125001" w:rsidRPr="00714402" w14:paraId="2058A7B8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4ABA2040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6174191B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6  grudnia 2024</w:t>
            </w:r>
          </w:p>
          <w:p w14:paraId="3DF40331" w14:textId="77777777" w:rsidR="00125001" w:rsidRPr="00714402" w:rsidRDefault="00125001" w:rsidP="00E50A57">
            <w:pPr>
              <w:tabs>
                <w:tab w:val="left" w:pos="1365"/>
              </w:tabs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552B353B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701" w:type="dxa"/>
            <w:shd w:val="clear" w:color="auto" w:fill="C0C0C0"/>
          </w:tcPr>
          <w:p w14:paraId="75A60EBE" w14:textId="77777777" w:rsidR="00125001" w:rsidRPr="00714402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714402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7E9087F4" w14:textId="77777777" w:rsidR="00125001" w:rsidRPr="00714402" w:rsidRDefault="00125001" w:rsidP="00E50A57">
            <w:pPr>
              <w:pStyle w:val="Nagwek2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</w:pPr>
            <w:r w:rsidRPr="00714402">
              <w:rPr>
                <w:rFonts w:ascii="Calibri" w:hAnsi="Calibri" w:cs="Calibr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09BCA271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24B073D6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+</w:t>
            </w:r>
          </w:p>
        </w:tc>
      </w:tr>
      <w:tr w:rsidR="00125001" w:rsidRPr="00714402" w14:paraId="323DB267" w14:textId="77777777" w:rsidTr="00E50A57">
        <w:trPr>
          <w:trHeight w:hRule="exact" w:val="9357"/>
        </w:trPr>
        <w:tc>
          <w:tcPr>
            <w:tcW w:w="1418" w:type="dxa"/>
            <w:shd w:val="pct20" w:color="auto" w:fill="FFFFFF"/>
          </w:tcPr>
          <w:p w14:paraId="0427028F" w14:textId="77777777" w:rsidR="00125001" w:rsidRPr="00714402" w:rsidRDefault="00125001" w:rsidP="00E50A5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Streszczenie:</w:t>
            </w: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6799CAB7" w14:textId="77777777" w:rsidR="00125001" w:rsidRPr="00714402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Wprowadzenie chirurgii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robotycznej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do zabiegów operacyjnych pacjentów populacji dorosłej stanowiło istotny przełom dla rozwoju wielu specjalności zabiegowych. W wielu krajach na świecie, również naszym operacje ze wsparciem robota chirurgicznego są lub stają się podstawą leczenia wybranych schorzeń pacjentów dorosłych. Jednakże ze względu na szczególny charakter pacjentów pediatrycznych i ich wymagania, rozwój tej dziedziny zabiegowej w chirurgii dziecięcej jest wolniejszy i mniej zaawansowany. </w:t>
            </w:r>
          </w:p>
          <w:p w14:paraId="1202B31D" w14:textId="77777777" w:rsidR="00125001" w:rsidRPr="00714402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Dzięki zaangażowaniu naszego zespołu, w lutym 2022 roku w Klinice Chirurgii i Urologii Dzieci i Młodzieży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GUMed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został wykonany pierwszy w Polsce zabieg operacyjny z wykorzystaniem systemu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robotycznego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 pacjenta pediatrycznego, a bezpośrednio później wykonane zostały kolejne dwa zabiegi. Wykorzystaliśmy wtedy system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robotyczny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da Vinci, a zabiegi odbyły się przy wsparciu prof. Thomasa Blanc ze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Hopitaux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de Paris. Do zabiegów zakwalifikowaliśmy dzieci ze wskazań onkologicznych oraz urologicznych. Zabiegi z zakresu chirurgii onkologicznej to kolejno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pankreatektomia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dystalna u siedemnastolatki z guzem trzonu trzustki oraz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adrenalektomia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prawostronna z powodu zmiany nadnercza z usunięciem zmiany i wszyciem łaty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Gore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-Tex w przeponę u niespełna czteroletniej dziewczynki. Zabiegiem urologicznym była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pieloplastyka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lewostronna u sześciolatki z rozpoznanym wodonerczem. Zabieg najstarszej pacjentki powikłany był niestety zaciekiem soku trzustkowego, które udało się powstrzymać leczeniem zachowawczym, bez konieczności reoperacji.</w:t>
            </w:r>
          </w:p>
          <w:p w14:paraId="0C9E10D7" w14:textId="77777777" w:rsidR="00125001" w:rsidRPr="00714402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 późniejszym czasie rozpoczęliśmy program leczenia chirurgicznego z zastosowaniem systemu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robotycznego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Versius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kilku wybranych wskazaniach takich jak wodonercze oraz kamica pęcherzyka żółciowego. System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Versius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to dostępna również w naszym ośrodku alternatywa dla bardziej znanego systemu da Vinci. Dotychczas przy jego użyciu wykonaliśmy dwie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cholecystektomie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 pacjentów z kamicą pęcherzyka żółciowego oraz zoperowaliśmy jedenastu pacjentów z rozpoznaniem wodonercza, z czego u ósemki wykonana została plastyka połączenia miedniczkowo-moczowodowego, a u pozostałej trójki przemieszczono naczynia biegunowe nerki (tzw.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Vascular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hitch</w:t>
            </w:r>
            <w:proofErr w:type="spellEnd"/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) ze względu na ich ucisk na połączenie miedniczkowo-moczowodowe. Z tej grupy dotychczas odnotowaliśmy jedno powikłanie pod postacią nieszczelności zespolenia z zaciekiem moczu, co nastąpiło najpewniej na skutek dysfunkcji pozostawionego cewnika JJ cztery tygodnie od operacji. Dodatkowo z pomocą zespołu chirurgów ogólnych z Opola podjęliśmy się reoperacji szesnastolatka z guzem odbytnicy, u którego niestety ze względu na rozległość procesu nowotworowego należało dokonać konwersji do resekcji brzuszno-kroczowej (operacja Milesa).</w:t>
            </w:r>
          </w:p>
          <w:p w14:paraId="26F8CF84" w14:textId="77777777" w:rsidR="00125001" w:rsidRPr="00714402" w:rsidRDefault="00125001" w:rsidP="00E50A57">
            <w:pPr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14402">
              <w:rPr>
                <w:rFonts w:ascii="Calibri" w:hAnsi="Calibri" w:cs="Calibri"/>
                <w:sz w:val="20"/>
                <w:szCs w:val="20"/>
                <w:lang w:val="pl-PL"/>
              </w:rPr>
              <w:t>Dotychczasowe doświadczenia nie pozwalają nam jeszcze na miarodajne porównanie obu systemów, natomiast już na ten momenty wiemy jak niezwykłą precyzję i wgląd w pole operacyjne oferuje ich wykorzystanie oraz możemy wyciągnąć wstępne wnioski jak to, że na potrzeby chirurgii dziecięcej system da Vinci oferuje szerszy zakres narzędziowy. Z wykorzystaniem tych systemów wiążemy duże nadzieje na przyszłość, a możliwość korzystania z obu jednocześnie w jednym ośrodku jest sytuacją wyjątkową na skalę kraju i Europy.</w:t>
            </w:r>
          </w:p>
        </w:tc>
      </w:tr>
    </w:tbl>
    <w:p w14:paraId="03F1DCC8" w14:textId="77777777" w:rsidR="00125001" w:rsidRPr="005C1A71" w:rsidRDefault="00125001" w:rsidP="00125001">
      <w:pPr>
        <w:rPr>
          <w:lang w:val="pl-PL"/>
        </w:rPr>
      </w:pPr>
    </w:p>
    <w:p w14:paraId="2D17BFA6" w14:textId="77777777" w:rsidR="00125001" w:rsidRPr="005C1A71" w:rsidRDefault="00125001">
      <w:pPr>
        <w:rPr>
          <w:lang w:val="pl-PL"/>
        </w:rPr>
      </w:pPr>
      <w:bookmarkStart w:id="0" w:name="_GoBack"/>
      <w:bookmarkEnd w:id="0"/>
    </w:p>
    <w:sectPr w:rsidR="00125001" w:rsidRPr="005C1A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AF027" w14:textId="77777777" w:rsidR="00CD0684" w:rsidRDefault="00CD0684">
      <w:r>
        <w:separator/>
      </w:r>
    </w:p>
  </w:endnote>
  <w:endnote w:type="continuationSeparator" w:id="0">
    <w:p w14:paraId="1493564B" w14:textId="77777777" w:rsidR="00CD0684" w:rsidRDefault="00CD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1D6E" w14:textId="77777777" w:rsidR="0055578C" w:rsidRDefault="005557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448C" w14:textId="77777777" w:rsidR="00A052AB" w:rsidRDefault="00A052AB" w:rsidP="00A052AB">
    <w:pPr>
      <w:pStyle w:val="Stopka"/>
      <w:jc w:val="center"/>
      <w:rPr>
        <w:b/>
        <w:bCs/>
        <w:sz w:val="20"/>
        <w:lang w:val="pl-PL"/>
      </w:rPr>
    </w:pPr>
  </w:p>
  <w:p w14:paraId="43CA8F38" w14:textId="77777777" w:rsidR="002C56EA" w:rsidRPr="00DC4829" w:rsidRDefault="002C56EA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Streszczenia prac</w:t>
    </w:r>
    <w:r w:rsidR="003F7795" w:rsidRPr="00DC4829">
      <w:rPr>
        <w:b/>
        <w:bCs/>
        <w:sz w:val="18"/>
        <w:lang w:val="pl-PL"/>
      </w:rPr>
      <w:t>y</w:t>
    </w:r>
    <w:r w:rsidRPr="00DC4829">
      <w:rPr>
        <w:b/>
        <w:bCs/>
        <w:sz w:val="18"/>
        <w:lang w:val="pl-PL"/>
      </w:rPr>
      <w:t xml:space="preserve"> należy zgłaszać </w:t>
    </w:r>
  </w:p>
  <w:p w14:paraId="4CE52173" w14:textId="3071A8CD" w:rsidR="00002DE8" w:rsidRPr="00DC4829" w:rsidRDefault="003F7795" w:rsidP="002C56EA">
    <w:pPr>
      <w:pStyle w:val="Stopka"/>
      <w:jc w:val="center"/>
      <w:rPr>
        <w:b/>
        <w:bCs/>
        <w:sz w:val="18"/>
        <w:lang w:val="pl-PL"/>
      </w:rPr>
    </w:pPr>
    <w:r w:rsidRPr="00DC4829">
      <w:rPr>
        <w:b/>
        <w:bCs/>
        <w:sz w:val="18"/>
        <w:lang w:val="pl-PL"/>
      </w:rPr>
      <w:t>d</w:t>
    </w:r>
    <w:r w:rsidR="002C56EA" w:rsidRPr="00DC4829">
      <w:rPr>
        <w:b/>
        <w:bCs/>
        <w:sz w:val="18"/>
        <w:lang w:val="pl-PL"/>
      </w:rPr>
      <w:t>o</w:t>
    </w:r>
    <w:r w:rsidRPr="00DC4829">
      <w:rPr>
        <w:b/>
        <w:bCs/>
        <w:sz w:val="18"/>
        <w:lang w:val="pl-PL"/>
      </w:rPr>
      <w:t xml:space="preserve"> dnia </w:t>
    </w:r>
    <w:r w:rsidR="00904769" w:rsidRPr="00DC4829">
      <w:rPr>
        <w:b/>
        <w:bCs/>
        <w:sz w:val="18"/>
        <w:lang w:val="pl-PL"/>
      </w:rPr>
      <w:t xml:space="preserve"> </w:t>
    </w:r>
    <w:r w:rsidR="005142DC" w:rsidRPr="00DC4829">
      <w:rPr>
        <w:b/>
        <w:bCs/>
        <w:sz w:val="18"/>
        <w:lang w:val="pl-PL"/>
      </w:rPr>
      <w:t>1</w:t>
    </w:r>
    <w:r w:rsidR="007728A0">
      <w:rPr>
        <w:b/>
        <w:bCs/>
        <w:sz w:val="18"/>
        <w:lang w:val="pl-PL"/>
      </w:rPr>
      <w:t>6</w:t>
    </w:r>
    <w:r w:rsidR="00904769" w:rsidRPr="00DC4829">
      <w:rPr>
        <w:b/>
        <w:bCs/>
        <w:sz w:val="18"/>
        <w:lang w:val="pl-PL"/>
      </w:rPr>
      <w:t>.1</w:t>
    </w:r>
    <w:r w:rsidR="00913501" w:rsidRPr="00DC4829">
      <w:rPr>
        <w:b/>
        <w:bCs/>
        <w:sz w:val="18"/>
        <w:lang w:val="pl-PL"/>
      </w:rPr>
      <w:t>1</w:t>
    </w:r>
    <w:r w:rsidR="00904769" w:rsidRPr="00DC4829">
      <w:rPr>
        <w:b/>
        <w:bCs/>
        <w:sz w:val="18"/>
        <w:lang w:val="pl-PL"/>
      </w:rPr>
      <w:t>.20</w:t>
    </w:r>
    <w:r w:rsidR="008D0079">
      <w:rPr>
        <w:b/>
        <w:bCs/>
        <w:sz w:val="18"/>
        <w:lang w:val="pl-PL"/>
      </w:rPr>
      <w:t>2</w:t>
    </w:r>
    <w:r w:rsidR="00DD5DB7">
      <w:rPr>
        <w:b/>
        <w:bCs/>
        <w:sz w:val="18"/>
        <w:lang w:val="pl-PL"/>
      </w:rPr>
      <w:t>4</w:t>
    </w:r>
    <w:r w:rsidR="002C56EA" w:rsidRPr="00DC4829">
      <w:rPr>
        <w:b/>
        <w:bCs/>
        <w:sz w:val="18"/>
        <w:lang w:val="pl-PL"/>
      </w:rPr>
      <w:t xml:space="preserve"> na adres e-mail: </w:t>
    </w:r>
    <w:hyperlink r:id="rId1" w:history="1">
      <w:r w:rsidR="006F5F4F" w:rsidRPr="00DC4829">
        <w:rPr>
          <w:rStyle w:val="Hipercze"/>
          <w:b/>
          <w:bCs/>
          <w:sz w:val="18"/>
          <w:lang w:val="pl-PL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95D7" w14:textId="77777777" w:rsidR="0055578C" w:rsidRDefault="005557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99EA" w14:textId="77777777" w:rsidR="00CD0684" w:rsidRDefault="00CD0684">
      <w:r>
        <w:separator/>
      </w:r>
    </w:p>
  </w:footnote>
  <w:footnote w:type="continuationSeparator" w:id="0">
    <w:p w14:paraId="3213D9D6" w14:textId="77777777" w:rsidR="00CD0684" w:rsidRDefault="00CD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EBB1" w14:textId="77777777" w:rsidR="0055578C" w:rsidRDefault="005557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03BF" w14:textId="2C8AF55F" w:rsidR="00060866" w:rsidRDefault="00DA48C2" w:rsidP="000A2451">
    <w:pPr>
      <w:jc w:val="center"/>
      <w:rPr>
        <w:rFonts w:ascii="Calibri" w:hAnsi="Calibri" w:cs="Arial"/>
        <w:sz w:val="20"/>
        <w:szCs w:val="20"/>
      </w:rPr>
    </w:pPr>
    <w:r w:rsidRPr="008A7C2F">
      <w:rPr>
        <w:rFonts w:ascii="Calibri" w:hAnsi="Calibri" w:cs="Arial"/>
        <w:caps/>
        <w:sz w:val="20"/>
        <w:szCs w:val="20"/>
      </w:rPr>
      <w:t>X</w:t>
    </w:r>
    <w:r w:rsidR="00A433EC">
      <w:rPr>
        <w:rFonts w:ascii="Calibri" w:hAnsi="Calibri" w:cs="Arial"/>
        <w:iCs/>
        <w:caps/>
        <w:sz w:val="20"/>
        <w:szCs w:val="20"/>
      </w:rPr>
      <w:t>X</w:t>
    </w:r>
    <w:r w:rsidR="00B80672">
      <w:rPr>
        <w:rFonts w:ascii="Calibri" w:hAnsi="Calibri" w:cs="Arial"/>
        <w:iCs/>
        <w:caps/>
        <w:sz w:val="20"/>
        <w:szCs w:val="20"/>
      </w:rPr>
      <w:t>I</w:t>
    </w:r>
    <w:r w:rsidRPr="008A7C2F">
      <w:rPr>
        <w:rFonts w:ascii="Calibri" w:hAnsi="Calibri" w:cs="Arial"/>
        <w:iCs/>
        <w:caps/>
        <w:sz w:val="20"/>
        <w:szCs w:val="20"/>
      </w:rPr>
      <w:t xml:space="preserve"> </w:t>
    </w:r>
    <w:r w:rsidR="007728A0">
      <w:rPr>
        <w:rFonts w:ascii="Calibri" w:hAnsi="Calibri" w:cs="Arial"/>
        <w:iCs/>
        <w:caps/>
        <w:sz w:val="20"/>
        <w:szCs w:val="20"/>
      </w:rPr>
      <w:t xml:space="preserve"> </w:t>
    </w:r>
    <w:r w:rsidRPr="008A7C2F">
      <w:rPr>
        <w:rFonts w:ascii="Calibri" w:hAnsi="Calibri" w:cs="Arial"/>
        <w:iCs/>
        <w:caps/>
        <w:sz w:val="20"/>
        <w:szCs w:val="20"/>
      </w:rPr>
      <w:t xml:space="preserve">Sympozjum </w:t>
    </w:r>
    <w:r w:rsidR="00060866">
      <w:rPr>
        <w:rFonts w:ascii="Calibri" w:hAnsi="Calibri" w:cs="Arial"/>
        <w:iCs/>
        <w:caps/>
        <w:sz w:val="20"/>
        <w:szCs w:val="20"/>
      </w:rPr>
      <w:t>“</w:t>
    </w:r>
    <w:r w:rsidR="009C2C8F">
      <w:rPr>
        <w:rFonts w:ascii="Calibri" w:hAnsi="Calibri" w:cs="Arial"/>
        <w:caps/>
        <w:sz w:val="20"/>
        <w:szCs w:val="20"/>
      </w:rPr>
      <w:t xml:space="preserve">INTERDYSCYPLINARNE </w:t>
    </w:r>
    <w:r w:rsidRPr="008A7C2F">
      <w:rPr>
        <w:rFonts w:ascii="Calibri" w:hAnsi="Calibri" w:cs="Arial"/>
        <w:caps/>
        <w:sz w:val="20"/>
        <w:szCs w:val="20"/>
      </w:rPr>
      <w:t>PROBLEMY CHIRURGII DZIECIĘCEJ</w:t>
    </w:r>
    <w:r w:rsidR="00060866">
      <w:rPr>
        <w:rFonts w:ascii="Calibri" w:hAnsi="Calibri" w:cs="Arial"/>
        <w:sz w:val="20"/>
        <w:szCs w:val="20"/>
      </w:rPr>
      <w:t>” i</w:t>
    </w:r>
  </w:p>
  <w:p w14:paraId="0154830B" w14:textId="1675B83C" w:rsidR="00DC4829" w:rsidRPr="008A7C2F" w:rsidRDefault="00DA48C2" w:rsidP="000A2451">
    <w:pPr>
      <w:jc w:val="center"/>
      <w:rPr>
        <w:rFonts w:ascii="Calibri" w:hAnsi="Calibri" w:cs="Arial"/>
        <w:bCs/>
        <w:caps/>
        <w:sz w:val="20"/>
        <w:szCs w:val="20"/>
      </w:rPr>
    </w:pPr>
    <w:r w:rsidRPr="008A7C2F">
      <w:rPr>
        <w:rFonts w:ascii="Calibri" w:hAnsi="Calibri" w:cs="Arial"/>
        <w:iCs/>
        <w:sz w:val="20"/>
        <w:szCs w:val="20"/>
      </w:rPr>
      <w:t xml:space="preserve"> </w:t>
    </w:r>
    <w:r w:rsidR="00B80672">
      <w:rPr>
        <w:rFonts w:ascii="Calibri" w:hAnsi="Calibri" w:cs="Arial"/>
        <w:iCs/>
        <w:sz w:val="20"/>
        <w:szCs w:val="20"/>
      </w:rPr>
      <w:t>XI</w:t>
    </w:r>
    <w:r w:rsidRPr="008A7C2F">
      <w:rPr>
        <w:rFonts w:ascii="Calibri" w:hAnsi="Calibri"/>
        <w:sz w:val="20"/>
        <w:szCs w:val="20"/>
        <w:lang w:eastAsia="pl-PL"/>
      </w:rPr>
      <w:t xml:space="preserve"> </w:t>
    </w:r>
    <w:r w:rsidR="000A2451">
      <w:rPr>
        <w:rFonts w:ascii="Calibri" w:hAnsi="Calibri"/>
        <w:sz w:val="20"/>
        <w:szCs w:val="20"/>
        <w:lang w:eastAsia="pl-PL"/>
      </w:rPr>
      <w:t>K</w:t>
    </w:r>
    <w:r w:rsidRPr="008A7C2F">
      <w:rPr>
        <w:rFonts w:ascii="Calibri" w:hAnsi="Calibri"/>
        <w:sz w:val="20"/>
        <w:szCs w:val="20"/>
        <w:lang w:eastAsia="pl-PL"/>
      </w:rPr>
      <w:t>ONFERENCJ</w:t>
    </w:r>
    <w:r w:rsidR="00A433EC">
      <w:rPr>
        <w:rFonts w:ascii="Calibri" w:hAnsi="Calibri"/>
        <w:sz w:val="20"/>
        <w:szCs w:val="20"/>
        <w:lang w:eastAsia="pl-PL"/>
      </w:rPr>
      <w:t>A</w:t>
    </w:r>
    <w:r w:rsidRPr="008A7C2F">
      <w:rPr>
        <w:rFonts w:ascii="Calibri" w:hAnsi="Calibri"/>
        <w:sz w:val="20"/>
        <w:szCs w:val="20"/>
        <w:lang w:eastAsia="pl-PL"/>
      </w:rPr>
      <w:t xml:space="preserve">  NAUKOWO-SZKOLENIOW</w:t>
    </w:r>
    <w:r w:rsidR="00A433EC">
      <w:rPr>
        <w:rFonts w:ascii="Calibri" w:hAnsi="Calibri"/>
        <w:sz w:val="20"/>
        <w:szCs w:val="20"/>
        <w:lang w:eastAsia="pl-PL"/>
      </w:rPr>
      <w:t>A</w:t>
    </w:r>
    <w:r w:rsidRPr="008A7C2F">
      <w:rPr>
        <w:rFonts w:ascii="Calibri" w:hAnsi="Calibri"/>
        <w:sz w:val="20"/>
        <w:szCs w:val="20"/>
        <w:lang w:eastAsia="pl-PL"/>
      </w:rPr>
      <w:t xml:space="preserve"> DLA MŁODYCH LEKARZY SPECJALIZUJĄCYCH SIĘ W CHIRURGII DZIECIĘCEJ </w:t>
    </w:r>
    <w:r w:rsidR="000A2451">
      <w:rPr>
        <w:rFonts w:ascii="Calibri" w:hAnsi="Calibri"/>
        <w:sz w:val="20"/>
        <w:szCs w:val="20"/>
        <w:lang w:eastAsia="pl-PL"/>
      </w:rPr>
      <w:t xml:space="preserve"> </w:t>
    </w:r>
    <w:r w:rsidR="00B80672">
      <w:rPr>
        <w:rFonts w:ascii="Calibri" w:hAnsi="Calibri"/>
        <w:sz w:val="20"/>
        <w:szCs w:val="20"/>
        <w:lang w:eastAsia="pl-PL"/>
      </w:rPr>
      <w:t>6</w:t>
    </w:r>
    <w:r w:rsidR="009C2C8F">
      <w:rPr>
        <w:rFonts w:ascii="Calibri" w:hAnsi="Calibri"/>
        <w:sz w:val="20"/>
        <w:szCs w:val="20"/>
        <w:lang w:eastAsia="pl-PL"/>
      </w:rPr>
      <w:t>-</w:t>
    </w:r>
    <w:r w:rsidR="00B80672">
      <w:rPr>
        <w:rFonts w:ascii="Calibri" w:hAnsi="Calibri"/>
        <w:sz w:val="20"/>
        <w:szCs w:val="20"/>
        <w:lang w:eastAsia="pl-PL"/>
      </w:rPr>
      <w:t>7</w:t>
    </w:r>
    <w:r w:rsidR="009C2C8F">
      <w:rPr>
        <w:rFonts w:ascii="Calibri" w:hAnsi="Calibri"/>
        <w:sz w:val="20"/>
        <w:szCs w:val="20"/>
        <w:lang w:eastAsia="pl-PL"/>
      </w:rPr>
      <w:t xml:space="preserve"> </w:t>
    </w:r>
    <w:r w:rsidR="00DC4829" w:rsidRPr="008A7C2F">
      <w:rPr>
        <w:rFonts w:ascii="Calibri" w:hAnsi="Calibri" w:cs="Arial"/>
        <w:bCs/>
        <w:caps/>
        <w:sz w:val="20"/>
        <w:szCs w:val="20"/>
      </w:rPr>
      <w:t>grudNIA 20</w:t>
    </w:r>
    <w:r w:rsidR="008D0079" w:rsidRPr="008A7C2F">
      <w:rPr>
        <w:rFonts w:ascii="Calibri" w:hAnsi="Calibri" w:cs="Arial"/>
        <w:bCs/>
        <w:caps/>
        <w:sz w:val="20"/>
        <w:szCs w:val="20"/>
      </w:rPr>
      <w:t>2</w:t>
    </w:r>
    <w:r w:rsidR="00B80672">
      <w:rPr>
        <w:rFonts w:ascii="Calibri" w:hAnsi="Calibri" w:cs="Arial"/>
        <w:bCs/>
        <w:caps/>
        <w:sz w:val="20"/>
        <w:szCs w:val="20"/>
      </w:rPr>
      <w:t>4</w:t>
    </w:r>
  </w:p>
  <w:p w14:paraId="2233E981" w14:textId="77777777" w:rsidR="00002DE8" w:rsidRPr="008A7C2F" w:rsidRDefault="00002DE8">
    <w:pPr>
      <w:pStyle w:val="Nagwek"/>
      <w:rPr>
        <w:rFonts w:ascii="Calibri" w:hAnsi="Calibri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7B3B6" w14:textId="77777777" w:rsidR="0055578C" w:rsidRDefault="005557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9A6"/>
    <w:multiLevelType w:val="hybridMultilevel"/>
    <w:tmpl w:val="41A6EF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8"/>
    <w:rsid w:val="00002DE8"/>
    <w:rsid w:val="00014D98"/>
    <w:rsid w:val="00060866"/>
    <w:rsid w:val="000A2451"/>
    <w:rsid w:val="000A6889"/>
    <w:rsid w:val="000F2988"/>
    <w:rsid w:val="000F526D"/>
    <w:rsid w:val="000F55E1"/>
    <w:rsid w:val="00112696"/>
    <w:rsid w:val="00122CC8"/>
    <w:rsid w:val="00125001"/>
    <w:rsid w:val="00153002"/>
    <w:rsid w:val="001A5CFF"/>
    <w:rsid w:val="001E72CD"/>
    <w:rsid w:val="0020361D"/>
    <w:rsid w:val="002260D4"/>
    <w:rsid w:val="00230650"/>
    <w:rsid w:val="00230B6D"/>
    <w:rsid w:val="0023655B"/>
    <w:rsid w:val="00291E06"/>
    <w:rsid w:val="002B143F"/>
    <w:rsid w:val="002C3360"/>
    <w:rsid w:val="002C56EA"/>
    <w:rsid w:val="00311B91"/>
    <w:rsid w:val="00324195"/>
    <w:rsid w:val="00335FBB"/>
    <w:rsid w:val="00373F4F"/>
    <w:rsid w:val="0039021B"/>
    <w:rsid w:val="003F7795"/>
    <w:rsid w:val="00407AE8"/>
    <w:rsid w:val="00410FD5"/>
    <w:rsid w:val="00442127"/>
    <w:rsid w:val="0044759F"/>
    <w:rsid w:val="004506B1"/>
    <w:rsid w:val="004D5474"/>
    <w:rsid w:val="005101D4"/>
    <w:rsid w:val="005142DC"/>
    <w:rsid w:val="00523022"/>
    <w:rsid w:val="005234B2"/>
    <w:rsid w:val="00523B71"/>
    <w:rsid w:val="00526E27"/>
    <w:rsid w:val="0052721F"/>
    <w:rsid w:val="0055578C"/>
    <w:rsid w:val="00592199"/>
    <w:rsid w:val="005C1A71"/>
    <w:rsid w:val="005C560A"/>
    <w:rsid w:val="005C6C18"/>
    <w:rsid w:val="005D2874"/>
    <w:rsid w:val="005E4DF9"/>
    <w:rsid w:val="005F018A"/>
    <w:rsid w:val="005F6501"/>
    <w:rsid w:val="00615659"/>
    <w:rsid w:val="00626B55"/>
    <w:rsid w:val="00630415"/>
    <w:rsid w:val="00632D77"/>
    <w:rsid w:val="00634EAC"/>
    <w:rsid w:val="00641614"/>
    <w:rsid w:val="00645F36"/>
    <w:rsid w:val="006A4D7A"/>
    <w:rsid w:val="006F0CE7"/>
    <w:rsid w:val="006F5F4F"/>
    <w:rsid w:val="00730295"/>
    <w:rsid w:val="0073328A"/>
    <w:rsid w:val="00757680"/>
    <w:rsid w:val="0076399A"/>
    <w:rsid w:val="007728A0"/>
    <w:rsid w:val="007A21B3"/>
    <w:rsid w:val="007A6672"/>
    <w:rsid w:val="007B4D82"/>
    <w:rsid w:val="007C5425"/>
    <w:rsid w:val="00823ACD"/>
    <w:rsid w:val="00834B0D"/>
    <w:rsid w:val="008A7C2F"/>
    <w:rsid w:val="008B2E58"/>
    <w:rsid w:val="008D0079"/>
    <w:rsid w:val="008D1CCB"/>
    <w:rsid w:val="008E0551"/>
    <w:rsid w:val="008E0655"/>
    <w:rsid w:val="00904769"/>
    <w:rsid w:val="00913501"/>
    <w:rsid w:val="009322BE"/>
    <w:rsid w:val="00932BFF"/>
    <w:rsid w:val="00957597"/>
    <w:rsid w:val="00992D2B"/>
    <w:rsid w:val="009C2C8F"/>
    <w:rsid w:val="009E732E"/>
    <w:rsid w:val="009F2BA2"/>
    <w:rsid w:val="00A052AB"/>
    <w:rsid w:val="00A24361"/>
    <w:rsid w:val="00A268D3"/>
    <w:rsid w:val="00A41BDF"/>
    <w:rsid w:val="00A433EC"/>
    <w:rsid w:val="00A61B9A"/>
    <w:rsid w:val="00A77E3E"/>
    <w:rsid w:val="00A82101"/>
    <w:rsid w:val="00AC04DA"/>
    <w:rsid w:val="00AC1F09"/>
    <w:rsid w:val="00B55701"/>
    <w:rsid w:val="00B77477"/>
    <w:rsid w:val="00B80672"/>
    <w:rsid w:val="00BB0C22"/>
    <w:rsid w:val="00C000B8"/>
    <w:rsid w:val="00C01004"/>
    <w:rsid w:val="00C260B6"/>
    <w:rsid w:val="00CD0684"/>
    <w:rsid w:val="00CF7C26"/>
    <w:rsid w:val="00D9716E"/>
    <w:rsid w:val="00DA00C1"/>
    <w:rsid w:val="00DA48C2"/>
    <w:rsid w:val="00DB1D32"/>
    <w:rsid w:val="00DC4829"/>
    <w:rsid w:val="00DD5DB7"/>
    <w:rsid w:val="00E125C4"/>
    <w:rsid w:val="00E828C4"/>
    <w:rsid w:val="00E846E2"/>
    <w:rsid w:val="00EC0A7E"/>
    <w:rsid w:val="00EC53FD"/>
    <w:rsid w:val="00F06621"/>
    <w:rsid w:val="00F21ECB"/>
    <w:rsid w:val="00F31ADF"/>
    <w:rsid w:val="00F762ED"/>
    <w:rsid w:val="00F7667C"/>
    <w:rsid w:val="00FA1B54"/>
    <w:rsid w:val="00FA597F"/>
    <w:rsid w:val="00FB7EA2"/>
    <w:rsid w:val="00FD4DB8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AB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paragraph" w:customStyle="1" w:styleId="Normalny1">
    <w:name w:val="Normalny1"/>
    <w:rsid w:val="00757680"/>
    <w:pPr>
      <w:suppressAutoHyphens/>
      <w:autoSpaceDN w:val="0"/>
      <w:spacing w:after="160" w:line="276" w:lineRule="auto"/>
    </w:pPr>
    <w:rPr>
      <w:rFonts w:ascii="Aptos" w:eastAsia="Aptos" w:hAnsi="Aptos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5768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4D7A"/>
    <w:rPr>
      <w:color w:val="605E5C"/>
      <w:shd w:val="clear" w:color="auto" w:fill="E1DFDD"/>
    </w:rPr>
  </w:style>
  <w:style w:type="character" w:customStyle="1" w:styleId="czeinternetowe">
    <w:name w:val="Łącze internetowe"/>
    <w:rsid w:val="00125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paragraph" w:customStyle="1" w:styleId="Normalny1">
    <w:name w:val="Normalny1"/>
    <w:rsid w:val="00757680"/>
    <w:pPr>
      <w:suppressAutoHyphens/>
      <w:autoSpaceDN w:val="0"/>
      <w:spacing w:after="160" w:line="276" w:lineRule="auto"/>
    </w:pPr>
    <w:rPr>
      <w:rFonts w:ascii="Aptos" w:eastAsia="Aptos" w:hAnsi="Aptos"/>
      <w:kern w:val="3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5768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4D7A"/>
    <w:rPr>
      <w:color w:val="605E5C"/>
      <w:shd w:val="clear" w:color="auto" w:fill="E1DFDD"/>
    </w:rPr>
  </w:style>
  <w:style w:type="character" w:customStyle="1" w:styleId="czeinternetowe">
    <w:name w:val="Łącze internetowe"/>
    <w:rsid w:val="00125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bodziacka@uckwum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g.matuszka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lewandosia@o2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r.maamon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bogusz@usdk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3322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Template</vt:lpstr>
    </vt:vector>
  </TitlesOfParts>
  <Company>Instytut "Pomnik - Centrum Zdrowia Dziecka"</Company>
  <LinksUpToDate>false</LinksUpToDate>
  <CharactersWithSpaces>23211</CharactersWithSpaces>
  <SharedDoc>false</SharedDoc>
  <HLinks>
    <vt:vector size="6" baseType="variant">
      <vt:variant>
        <vt:i4>8060929</vt:i4>
      </vt:variant>
      <vt:variant>
        <vt:i4>0</vt:i4>
      </vt:variant>
      <vt:variant>
        <vt:i4>0</vt:i4>
      </vt:variant>
      <vt:variant>
        <vt:i4>5</vt:i4>
      </vt:variant>
      <vt:variant>
        <vt:lpwstr>mailto:p.kalicinski@ipczd.pl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Przemysław Trzciński</cp:lastModifiedBy>
  <cp:revision>3</cp:revision>
  <cp:lastPrinted>2017-11-15T20:19:00Z</cp:lastPrinted>
  <dcterms:created xsi:type="dcterms:W3CDTF">2024-11-16T16:15:00Z</dcterms:created>
  <dcterms:modified xsi:type="dcterms:W3CDTF">2024-11-29T07:58:00Z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