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30D62" w14:textId="77777777" w:rsidR="00246580" w:rsidRPr="00D200E2" w:rsidRDefault="00246580">
      <w:pPr>
        <w:pStyle w:val="Nagwek1"/>
        <w:rPr>
          <w:rFonts w:asciiTheme="minorHAnsi" w:hAnsiTheme="minorHAnsi" w:cstheme="minorHAnsi"/>
        </w:rPr>
      </w:pPr>
    </w:p>
    <w:tbl>
      <w:tblPr>
        <w:tblStyle w:val="a"/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4365"/>
        <w:gridCol w:w="1701"/>
        <w:gridCol w:w="2126"/>
      </w:tblGrid>
      <w:tr w:rsidR="00246580" w:rsidRPr="00D200E2" w14:paraId="28030D68" w14:textId="77777777" w:rsidTr="00D200E2">
        <w:trPr>
          <w:trHeight w:val="822"/>
        </w:trPr>
        <w:tc>
          <w:tcPr>
            <w:tcW w:w="1447" w:type="dxa"/>
            <w:shd w:val="clear" w:color="auto" w:fill="CCCCCC"/>
          </w:tcPr>
          <w:p w14:paraId="28030D63" w14:textId="77777777" w:rsidR="00246580" w:rsidRPr="00D200E2" w:rsidRDefault="00055851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Tytuł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:</w:t>
            </w:r>
          </w:p>
          <w:p w14:paraId="28030D64" w14:textId="77777777" w:rsidR="00246580" w:rsidRPr="00D200E2" w:rsidRDefault="0024658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192" w:type="dxa"/>
            <w:gridSpan w:val="3"/>
          </w:tcPr>
          <w:p w14:paraId="1B34682E" w14:textId="0F366D99" w:rsidR="00055851" w:rsidRPr="00D200E2" w:rsidRDefault="00055851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</w:pP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Wyzwania diagnostyczno-terapeutyczne u pacjenta z zespołem </w:t>
            </w: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Berdona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 – studium przypadku</w:t>
            </w:r>
          </w:p>
          <w:p w14:paraId="28030D67" w14:textId="1F8FBB13" w:rsidR="00246580" w:rsidRPr="00D200E2" w:rsidRDefault="0024658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246580" w:rsidRPr="00D200E2" w14:paraId="28030D6B" w14:textId="77777777" w:rsidTr="00D200E2">
        <w:trPr>
          <w:trHeight w:val="639"/>
        </w:trPr>
        <w:tc>
          <w:tcPr>
            <w:tcW w:w="1447" w:type="dxa"/>
            <w:shd w:val="clear" w:color="auto" w:fill="CCCCCC"/>
          </w:tcPr>
          <w:p w14:paraId="28030D69" w14:textId="77777777" w:rsidR="00246580" w:rsidRPr="00D200E2" w:rsidRDefault="00055851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Autorzy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192" w:type="dxa"/>
            <w:gridSpan w:val="3"/>
          </w:tcPr>
          <w:p w14:paraId="28030D6A" w14:textId="78F62C21" w:rsidR="00246580" w:rsidRPr="00D200E2" w:rsidRDefault="00055851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Ewa Bućko, Dajana Danielewicz, </w:t>
            </w: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Malgorzata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Rzanny-Owczarzak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Przemyslaw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</w:t>
            </w:r>
            <w:r w:rsidR="002A316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ń</w:t>
            </w: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kowski</w:t>
            </w:r>
            <w:proofErr w:type="spellEnd"/>
          </w:p>
        </w:tc>
      </w:tr>
      <w:tr w:rsidR="00246580" w:rsidRPr="00D200E2" w14:paraId="28030D70" w14:textId="77777777" w:rsidTr="00D200E2">
        <w:trPr>
          <w:trHeight w:val="706"/>
        </w:trPr>
        <w:tc>
          <w:tcPr>
            <w:tcW w:w="1447" w:type="dxa"/>
            <w:shd w:val="clear" w:color="auto" w:fill="CCCCCC"/>
          </w:tcPr>
          <w:p w14:paraId="28030D6C" w14:textId="77777777" w:rsidR="00246580" w:rsidRPr="00D200E2" w:rsidRDefault="00055851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Ośrodek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:</w:t>
            </w:r>
          </w:p>
          <w:p w14:paraId="28030D6D" w14:textId="77777777" w:rsidR="00246580" w:rsidRPr="00D200E2" w:rsidRDefault="00055851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E-mail:</w:t>
            </w:r>
          </w:p>
        </w:tc>
        <w:tc>
          <w:tcPr>
            <w:tcW w:w="8192" w:type="dxa"/>
            <w:gridSpan w:val="3"/>
          </w:tcPr>
          <w:p w14:paraId="28030D6E" w14:textId="77777777" w:rsidR="00246580" w:rsidRPr="00D200E2" w:rsidRDefault="00055851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</w:pP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Klinika Chirurgii, Urologii i Traumatologii Dziecięcej w Poznaniu, Szpital Uniwersytecki im. K </w:t>
            </w: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Jonschera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 w Poznaniu</w:t>
            </w:r>
          </w:p>
          <w:p w14:paraId="28030D6F" w14:textId="73F1F3D5" w:rsidR="00246580" w:rsidRPr="00D200E2" w:rsidRDefault="00C84A33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</w:pPr>
            <w:hyperlink r:id="rId8">
              <w:r w:rsidR="00055851" w:rsidRPr="00D200E2">
                <w:rPr>
                  <w:rFonts w:asciiTheme="minorHAnsi" w:eastAsia="Calibri" w:hAnsiTheme="minorHAnsi" w:cstheme="minorHAnsi"/>
                  <w:bCs/>
                  <w:color w:val="0000FF"/>
                  <w:sz w:val="20"/>
                  <w:szCs w:val="20"/>
                  <w:u w:val="single"/>
                  <w:lang w:val="pl-PL"/>
                </w:rPr>
                <w:t>chirurgia@skp.ump.edu.pl</w:t>
              </w:r>
            </w:hyperlink>
            <w:r w:rsidR="00055851" w:rsidRPr="00D200E2">
              <w:rPr>
                <w:rFonts w:asciiTheme="minorHAnsi" w:eastAsia="Calibri" w:hAnsiTheme="minorHAnsi" w:cstheme="minorHAnsi"/>
                <w:bCs/>
                <w:color w:val="0000FF"/>
                <w:sz w:val="20"/>
                <w:szCs w:val="20"/>
                <w:u w:val="single"/>
                <w:lang w:val="pl-PL"/>
              </w:rPr>
              <w:t xml:space="preserve"> </w:t>
            </w:r>
            <w:r w:rsidR="00055851" w:rsidRPr="00D200E2">
              <w:rPr>
                <w:rFonts w:asciiTheme="minorHAnsi" w:eastAsia="Calibri" w:hAnsiTheme="minorHAnsi" w:cstheme="minorHAnsi"/>
                <w:bCs/>
                <w:color w:val="0000FF"/>
                <w:sz w:val="20"/>
                <w:szCs w:val="20"/>
                <w:lang w:val="pl-PL"/>
              </w:rPr>
              <w:t xml:space="preserve">    </w:t>
            </w:r>
            <w:r w:rsidR="00055851" w:rsidRPr="00D200E2">
              <w:rPr>
                <w:rFonts w:asciiTheme="minorHAnsi" w:eastAsia="Calibri" w:hAnsiTheme="minorHAnsi" w:cstheme="minorHAnsi"/>
                <w:bCs/>
                <w:color w:val="0000FF"/>
                <w:sz w:val="20"/>
                <w:szCs w:val="20"/>
                <w:u w:val="single"/>
                <w:lang w:val="pl-PL"/>
              </w:rPr>
              <w:t>e.bucko37@gmail.com</w:t>
            </w:r>
          </w:p>
        </w:tc>
      </w:tr>
      <w:tr w:rsidR="00246580" w:rsidRPr="00D200E2" w14:paraId="28030D79" w14:textId="77777777" w:rsidTr="002A316E">
        <w:trPr>
          <w:trHeight w:val="1489"/>
        </w:trPr>
        <w:tc>
          <w:tcPr>
            <w:tcW w:w="1447" w:type="dxa"/>
            <w:shd w:val="clear" w:color="auto" w:fill="CCCCCC"/>
          </w:tcPr>
          <w:p w14:paraId="28030D71" w14:textId="77777777" w:rsidR="00246580" w:rsidRPr="00D200E2" w:rsidRDefault="00055851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</w:pP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28030D72" w14:textId="77777777" w:rsidR="00246580" w:rsidRPr="00D200E2" w:rsidRDefault="00055851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</w:pP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6  grudnia 2024</w:t>
            </w:r>
          </w:p>
          <w:p w14:paraId="28030D73" w14:textId="53FE3B28" w:rsidR="00246580" w:rsidRPr="00D200E2" w:rsidRDefault="00246580">
            <w:pPr>
              <w:tabs>
                <w:tab w:val="left" w:pos="1365"/>
              </w:tabs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4365" w:type="dxa"/>
          </w:tcPr>
          <w:p w14:paraId="28030D74" w14:textId="77777777" w:rsidR="00246580" w:rsidRPr="00D200E2" w:rsidRDefault="0024658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shd w:val="clear" w:color="auto" w:fill="C0C0C0"/>
          </w:tcPr>
          <w:p w14:paraId="28030D75" w14:textId="77777777" w:rsidR="00246580" w:rsidRPr="00D200E2" w:rsidRDefault="00055851">
            <w:pPr>
              <w:pStyle w:val="Nagwek2"/>
              <w:jc w:val="left"/>
              <w:rPr>
                <w:rFonts w:asciiTheme="minorHAnsi" w:eastAsia="Calibri" w:hAnsiTheme="minorHAnsi" w:cstheme="minorHAnsi"/>
                <w:b w:val="0"/>
                <w:sz w:val="20"/>
                <w:szCs w:val="20"/>
                <w:highlight w:val="lightGray"/>
              </w:rPr>
            </w:pPr>
            <w:r w:rsidRPr="00D200E2">
              <w:rPr>
                <w:rFonts w:asciiTheme="minorHAnsi" w:eastAsia="Calibri" w:hAnsiTheme="minorHAnsi" w:cstheme="minorHAnsi"/>
                <w:b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28030D76" w14:textId="77777777" w:rsidR="00246580" w:rsidRPr="00D200E2" w:rsidRDefault="00055851">
            <w:pPr>
              <w:pStyle w:val="Nagwek2"/>
              <w:jc w:val="left"/>
              <w:rPr>
                <w:rFonts w:asciiTheme="minorHAnsi" w:eastAsia="Calibri" w:hAnsiTheme="minorHAnsi" w:cstheme="minorHAnsi"/>
                <w:b w:val="0"/>
                <w:sz w:val="20"/>
                <w:szCs w:val="20"/>
                <w:highlight w:val="lightGray"/>
              </w:rPr>
            </w:pPr>
            <w:r w:rsidRPr="00D200E2">
              <w:rPr>
                <w:rFonts w:asciiTheme="minorHAnsi" w:eastAsia="Calibri" w:hAnsiTheme="minorHAnsi" w:cstheme="minorHAnsi"/>
                <w:b w:val="0"/>
                <w:sz w:val="20"/>
                <w:szCs w:val="20"/>
                <w:highlight w:val="lightGray"/>
              </w:rPr>
              <w:t>7 grudnia 2024</w:t>
            </w:r>
          </w:p>
          <w:p w14:paraId="28030D77" w14:textId="6A4DC9B8" w:rsidR="00246580" w:rsidRPr="00D200E2" w:rsidRDefault="0024658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14:paraId="28030D78" w14:textId="5B3062DE" w:rsidR="00246580" w:rsidRPr="00D200E2" w:rsidRDefault="00D200E2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246580" w:rsidRPr="00D200E2" w14:paraId="28030D86" w14:textId="77777777" w:rsidTr="00D200E2">
        <w:trPr>
          <w:trHeight w:val="7960"/>
        </w:trPr>
        <w:tc>
          <w:tcPr>
            <w:tcW w:w="1447" w:type="dxa"/>
            <w:shd w:val="clear" w:color="auto" w:fill="CCCCCC"/>
          </w:tcPr>
          <w:p w14:paraId="28030D7A" w14:textId="77777777" w:rsidR="00246580" w:rsidRPr="00D200E2" w:rsidRDefault="00055851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Streszczenie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:</w:t>
            </w: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br/>
            </w:r>
          </w:p>
        </w:tc>
        <w:tc>
          <w:tcPr>
            <w:tcW w:w="8192" w:type="dxa"/>
            <w:gridSpan w:val="3"/>
          </w:tcPr>
          <w:p w14:paraId="28030D7C" w14:textId="7BCFB1B2" w:rsidR="00246580" w:rsidRPr="00D200E2" w:rsidRDefault="00055851" w:rsidP="00055851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</w:pP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Cel: Zespół </w:t>
            </w: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Berdona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Megacystis-Microcolon-Intestinal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Hipoperystalsis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Syndrome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; MMIHS) to rzadkie schorzenie genetyczne występujące głównie u chorych płci żeńskiej. Objawia się zaburzeniami motoryki jelit, </w:t>
            </w: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hipolazką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 jelita grubego oraz olbrzymim  pęcherzem moczowym bez przeszkody </w:t>
            </w: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podpęcherzowej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. Dokładna etiologia zespołu jest nieznana. Choroba stanowi wyzwanie zarówno dla chirurgów, jak i pediatrów ze względu na rzadkie występowanie i w dużej mierze nieskuteczne metody leczenia.</w:t>
            </w:r>
          </w:p>
          <w:p w14:paraId="28030D7D" w14:textId="77777777" w:rsidR="00246580" w:rsidRPr="00D200E2" w:rsidRDefault="00246580" w:rsidP="00055851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</w:pPr>
          </w:p>
          <w:p w14:paraId="28030D7F" w14:textId="56F27989" w:rsidR="00246580" w:rsidRPr="00D200E2" w:rsidRDefault="00055851" w:rsidP="00055851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</w:pP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Prezentacja przypadku: Pacjentka urodziła się w 35. tygodniu ciąży przez cesarskie cięcie, </w:t>
            </w:r>
            <w:r w:rsidR="002A316E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z m. ciała </w:t>
            </w: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2530 g. Prenatalnie zdiagnozowano u niej masę guzowatą położoną w jamie brzusznej i miednicy. W postnatalnym badaniu USG nie uwidoczniono </w:t>
            </w: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ww</w:t>
            </w:r>
            <w:proofErr w:type="spellEnd"/>
            <w:r w:rsidR="002A316E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 masy - radiolog zauważył jedynie powiększony pęcherz. Badanie było utrudnione ze względu na zwiększoną obecność powietrza w jelitach. Ponadto u pacjentki nie udało się wprowadzić karmienia doustnego.</w:t>
            </w:r>
          </w:p>
          <w:p w14:paraId="28030D80" w14:textId="77777777" w:rsidR="00246580" w:rsidRPr="00D200E2" w:rsidRDefault="00055851" w:rsidP="00055851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</w:pP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W pierwszym tygodniu życia wykonano NMR, który uwidocznił powiększony pęcherz, lewy moczowód i miedniczkę nerkową. Uwidoczniono również poszerzone jelito cienkie wypełnione powietrzem. Badanie kontrastowe wykazało dużą ilość smółki w jelitach na podstawie czego wysunięto podejrzenie niedrożności motorycznej  jelita cienkiego.</w:t>
            </w:r>
          </w:p>
          <w:p w14:paraId="28030D81" w14:textId="0D320BE0" w:rsidR="00246580" w:rsidRPr="00D200E2" w:rsidRDefault="00055851" w:rsidP="00055851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</w:pP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Wprowadzono cewnik </w:t>
            </w: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Foleya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, stabilizując diurezę i normalizując wielkość dróg moczowych. Ze względu na brak poprawy perystaltyki jelit wprowadzono żywienie dożylne. Założono cewnik </w:t>
            </w: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Broviaca</w:t>
            </w:r>
            <w:proofErr w:type="spellEnd"/>
            <w:r w:rsidR="00D200E2"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celem prowadzenia długotrwałego żywienia dożylnego, a także wykonano gastrostomię w celu dekompresji przewodu pokarmowego.</w:t>
            </w:r>
          </w:p>
          <w:p w14:paraId="28030D82" w14:textId="77777777" w:rsidR="00246580" w:rsidRPr="00D200E2" w:rsidRDefault="00246580" w:rsidP="00055851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</w:pPr>
          </w:p>
          <w:p w14:paraId="28030D84" w14:textId="2FBFDB25" w:rsidR="00246580" w:rsidRPr="00D200E2" w:rsidRDefault="00055851" w:rsidP="00055851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</w:pPr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Wnioski: Zespół </w:t>
            </w:r>
            <w:proofErr w:type="spellStart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>Berdona</w:t>
            </w:r>
            <w:proofErr w:type="spellEnd"/>
            <w:r w:rsidRPr="00D200E2"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  <w:t xml:space="preserve"> jest problemem wielodyscyplinarnym, wymagającym współpracy różnych zespołów specjalistycznych. Rokowanie jest niekorzystne, jednak wraz z rozwojem całkowitego żywienia pozajelitowego i profilaktyki urologicznej ulega poprawie.</w:t>
            </w:r>
          </w:p>
          <w:p w14:paraId="28030D85" w14:textId="77777777" w:rsidR="00246580" w:rsidRPr="00D200E2" w:rsidRDefault="0024658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</w:tbl>
    <w:p w14:paraId="28030D87" w14:textId="77777777" w:rsidR="00246580" w:rsidRDefault="00246580">
      <w:pPr>
        <w:rPr>
          <w:rFonts w:asciiTheme="minorHAnsi" w:hAnsiTheme="minorHAnsi" w:cstheme="minorHAnsi"/>
          <w:bCs/>
          <w:lang w:val="pl-PL"/>
        </w:rPr>
      </w:pPr>
    </w:p>
    <w:p w14:paraId="5F06FDD8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2A453A43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3CD8DA4E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663BC47D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4BC36F12" w14:textId="77777777" w:rsidR="00C84A33" w:rsidRDefault="00C84A33" w:rsidP="00C84A33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C84A33" w:rsidRPr="005F018A" w14:paraId="2DED49C9" w14:textId="77777777" w:rsidTr="00E50A57">
        <w:trPr>
          <w:trHeight w:hRule="exact" w:val="822"/>
        </w:trPr>
        <w:tc>
          <w:tcPr>
            <w:tcW w:w="1418" w:type="dxa"/>
            <w:shd w:val="pct20" w:color="auto" w:fill="FFFFFF"/>
          </w:tcPr>
          <w:p w14:paraId="2388D6FD" w14:textId="77777777" w:rsidR="00C84A33" w:rsidRPr="00B55701" w:rsidRDefault="00C84A33" w:rsidP="00E50A57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proofErr w:type="spellStart"/>
            <w:r w:rsidRPr="00B55701">
              <w:rPr>
                <w:rFonts w:ascii="Calibri" w:hAnsi="Calibri" w:cs="Calibri"/>
                <w:b/>
                <w:bCs/>
                <w:sz w:val="18"/>
                <w:szCs w:val="20"/>
              </w:rPr>
              <w:t>Tytuł</w:t>
            </w:r>
            <w:proofErr w:type="spellEnd"/>
            <w:r w:rsidRPr="00B55701">
              <w:rPr>
                <w:rFonts w:ascii="Calibri" w:hAnsi="Calibri" w:cs="Calibri"/>
                <w:b/>
                <w:bCs/>
                <w:sz w:val="18"/>
                <w:szCs w:val="20"/>
              </w:rPr>
              <w:t>:</w:t>
            </w:r>
          </w:p>
          <w:p w14:paraId="53AC6C65" w14:textId="77777777" w:rsidR="00C84A33" w:rsidRPr="00B55701" w:rsidRDefault="00C84A33" w:rsidP="00E50A57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18C73948" w14:textId="77777777" w:rsidR="00C84A33" w:rsidRPr="00B55701" w:rsidRDefault="00C84A33" w:rsidP="00E50A57">
            <w:pPr>
              <w:rPr>
                <w:rFonts w:ascii="Calibri" w:hAnsi="Calibri" w:cs="Calibri"/>
                <w:b/>
                <w:sz w:val="18"/>
                <w:szCs w:val="20"/>
                <w:lang w:val="pl-PL"/>
              </w:rPr>
            </w:pPr>
            <w:proofErr w:type="spellStart"/>
            <w:r w:rsidRPr="007A6789">
              <w:rPr>
                <w:rFonts w:ascii="Calibri" w:eastAsia="Quattrocento Sans" w:hAnsi="Calibri" w:cs="Calibri"/>
                <w:color w:val="212121"/>
                <w:sz w:val="20"/>
                <w:szCs w:val="20"/>
                <w:highlight w:val="white"/>
                <w:lang w:val="pl-PL" w:eastAsia="pl-PL"/>
              </w:rPr>
              <w:t>Fasciektomia</w:t>
            </w:r>
            <w:proofErr w:type="spellEnd"/>
            <w:r w:rsidRPr="007A6789">
              <w:rPr>
                <w:rFonts w:ascii="Calibri" w:eastAsia="Quattrocento Sans" w:hAnsi="Calibri" w:cs="Calibri"/>
                <w:color w:val="212121"/>
                <w:sz w:val="20"/>
                <w:szCs w:val="20"/>
                <w:highlight w:val="white"/>
                <w:lang w:val="pl-PL" w:eastAsia="pl-PL"/>
              </w:rPr>
              <w:t xml:space="preserve"> w leczeniu </w:t>
            </w:r>
            <w:proofErr w:type="spellStart"/>
            <w:r w:rsidRPr="007A6789">
              <w:rPr>
                <w:rFonts w:ascii="Calibri" w:eastAsia="Quattrocento Sans" w:hAnsi="Calibri" w:cs="Calibri"/>
                <w:color w:val="212121"/>
                <w:sz w:val="20"/>
                <w:szCs w:val="20"/>
                <w:highlight w:val="white"/>
                <w:lang w:val="pl-PL" w:eastAsia="pl-PL"/>
              </w:rPr>
              <w:t>eozynofilowego</w:t>
            </w:r>
            <w:proofErr w:type="spellEnd"/>
            <w:r w:rsidRPr="007A6789">
              <w:rPr>
                <w:rFonts w:ascii="Calibri" w:eastAsia="Quattrocento Sans" w:hAnsi="Calibri" w:cs="Calibri"/>
                <w:color w:val="212121"/>
                <w:sz w:val="20"/>
                <w:szCs w:val="20"/>
                <w:highlight w:val="white"/>
                <w:lang w:val="pl-PL" w:eastAsia="pl-PL"/>
              </w:rPr>
              <w:t xml:space="preserve"> zapalenie powięzi</w:t>
            </w:r>
          </w:p>
        </w:tc>
      </w:tr>
      <w:tr w:rsidR="00C84A33" w:rsidRPr="005F018A" w14:paraId="5A00976C" w14:textId="77777777" w:rsidTr="00E50A57">
        <w:trPr>
          <w:trHeight w:hRule="exact" w:val="639"/>
        </w:trPr>
        <w:tc>
          <w:tcPr>
            <w:tcW w:w="1418" w:type="dxa"/>
            <w:shd w:val="pct20" w:color="auto" w:fill="FFFFFF"/>
          </w:tcPr>
          <w:p w14:paraId="03347A91" w14:textId="77777777" w:rsidR="00C84A33" w:rsidRPr="00B55701" w:rsidRDefault="00C84A33" w:rsidP="00E50A57">
            <w:pPr>
              <w:rPr>
                <w:rFonts w:ascii="Calibri" w:hAnsi="Calibri" w:cs="Calibri"/>
                <w:b/>
                <w:bCs/>
                <w:sz w:val="18"/>
                <w:szCs w:val="20"/>
                <w:lang w:val="pl-PL"/>
              </w:rPr>
            </w:pPr>
            <w:r w:rsidRPr="00B55701">
              <w:rPr>
                <w:rFonts w:ascii="Calibri" w:hAnsi="Calibri" w:cs="Calibri"/>
                <w:b/>
                <w:bCs/>
                <w:sz w:val="18"/>
                <w:szCs w:val="20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</w:tcPr>
          <w:p w14:paraId="0F4EB84A" w14:textId="77777777" w:rsidR="00C84A33" w:rsidRPr="00B55701" w:rsidRDefault="00C84A33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  <w:proofErr w:type="spellStart"/>
            <w:r w:rsidRPr="00000688">
              <w:rPr>
                <w:rFonts w:asciiTheme="majorHAnsi" w:eastAsia="Calibri" w:hAnsiTheme="majorHAnsi" w:cstheme="majorHAnsi"/>
                <w:sz w:val="20"/>
                <w:szCs w:val="20"/>
              </w:rPr>
              <w:t>A.Daban</w:t>
            </w:r>
            <w:proofErr w:type="spellEnd"/>
            <w:r w:rsidRPr="00000688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I. </w:t>
            </w:r>
            <w:proofErr w:type="spellStart"/>
            <w:r w:rsidRPr="00000688">
              <w:rPr>
                <w:rFonts w:asciiTheme="majorHAnsi" w:eastAsia="Calibri" w:hAnsiTheme="majorHAnsi" w:cstheme="majorHAnsi"/>
                <w:sz w:val="20"/>
                <w:szCs w:val="20"/>
              </w:rPr>
              <w:t>Pudlo</w:t>
            </w:r>
            <w:proofErr w:type="spellEnd"/>
            <w:r w:rsidRPr="00000688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000688">
              <w:rPr>
                <w:rFonts w:asciiTheme="majorHAnsi" w:eastAsia="Calibri" w:hAnsiTheme="majorHAnsi" w:cstheme="majorHAnsi"/>
                <w:sz w:val="20"/>
                <w:szCs w:val="20"/>
              </w:rPr>
              <w:t>S.Paradowski</w:t>
            </w:r>
            <w:proofErr w:type="spellEnd"/>
            <w:r w:rsidRPr="00000688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00688">
              <w:rPr>
                <w:rFonts w:asciiTheme="majorHAnsi" w:eastAsia="Calibri" w:hAnsiTheme="majorHAnsi" w:cstheme="majorHAnsi"/>
                <w:sz w:val="20"/>
                <w:szCs w:val="20"/>
              </w:rPr>
              <w:t>N.Kacperski</w:t>
            </w:r>
            <w:proofErr w:type="spellEnd"/>
            <w:r w:rsidRPr="00000688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00688">
              <w:rPr>
                <w:rFonts w:asciiTheme="majorHAnsi" w:eastAsia="Calibri" w:hAnsiTheme="majorHAnsi" w:cstheme="majorHAnsi"/>
                <w:sz w:val="20"/>
                <w:szCs w:val="20"/>
              </w:rPr>
              <w:t>K.Jachimiak</w:t>
            </w:r>
            <w:proofErr w:type="spellEnd"/>
            <w:r w:rsidRPr="00000688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00688">
              <w:rPr>
                <w:rFonts w:asciiTheme="majorHAnsi" w:eastAsia="Calibri" w:hAnsiTheme="majorHAnsi" w:cstheme="majorHAnsi"/>
                <w:sz w:val="20"/>
                <w:szCs w:val="20"/>
              </w:rPr>
              <w:t>K.Roguska</w:t>
            </w:r>
            <w:proofErr w:type="spellEnd"/>
            <w:r w:rsidRPr="00000688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00688">
              <w:rPr>
                <w:rFonts w:asciiTheme="majorHAnsi" w:eastAsia="Calibri" w:hAnsiTheme="majorHAnsi" w:cstheme="majorHAnsi"/>
                <w:sz w:val="20"/>
                <w:szCs w:val="20"/>
              </w:rPr>
              <w:t>W.Hertman</w:t>
            </w:r>
            <w:proofErr w:type="spellEnd"/>
          </w:p>
        </w:tc>
      </w:tr>
      <w:tr w:rsidR="00C84A33" w:rsidRPr="005F018A" w14:paraId="446648F5" w14:textId="77777777" w:rsidTr="00E50A57">
        <w:trPr>
          <w:trHeight w:hRule="exact" w:val="706"/>
        </w:trPr>
        <w:tc>
          <w:tcPr>
            <w:tcW w:w="1418" w:type="dxa"/>
            <w:shd w:val="pct20" w:color="auto" w:fill="FFFFFF"/>
          </w:tcPr>
          <w:p w14:paraId="63BDDEFA" w14:textId="77777777" w:rsidR="00C84A33" w:rsidRPr="00B55701" w:rsidRDefault="00C84A33" w:rsidP="00E50A57">
            <w:pPr>
              <w:rPr>
                <w:rFonts w:ascii="Calibri" w:hAnsi="Calibri" w:cs="Calibri"/>
                <w:b/>
                <w:bCs/>
                <w:sz w:val="18"/>
                <w:szCs w:val="20"/>
                <w:lang w:val="pl-PL"/>
              </w:rPr>
            </w:pPr>
            <w:r w:rsidRPr="00B55701">
              <w:rPr>
                <w:rFonts w:ascii="Calibri" w:hAnsi="Calibri" w:cs="Calibri"/>
                <w:b/>
                <w:bCs/>
                <w:sz w:val="18"/>
                <w:szCs w:val="20"/>
                <w:lang w:val="pl-PL"/>
              </w:rPr>
              <w:t>Ośrodek:</w:t>
            </w:r>
          </w:p>
          <w:p w14:paraId="0620075F" w14:textId="77777777" w:rsidR="00C84A33" w:rsidRPr="00B55701" w:rsidRDefault="00C84A33" w:rsidP="00E50A57">
            <w:pPr>
              <w:rPr>
                <w:rFonts w:ascii="Calibri" w:hAnsi="Calibri" w:cs="Calibri"/>
                <w:b/>
                <w:sz w:val="18"/>
                <w:szCs w:val="20"/>
                <w:lang w:val="pl-PL"/>
              </w:rPr>
            </w:pPr>
            <w:r w:rsidRPr="00B55701">
              <w:rPr>
                <w:rFonts w:ascii="Calibri" w:hAnsi="Calibri" w:cs="Calibri"/>
                <w:b/>
                <w:sz w:val="18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15C7863B" w14:textId="77777777" w:rsidR="00C84A33" w:rsidRDefault="00C84A33" w:rsidP="00E50A57">
            <w:pPr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</w:pP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Oddział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Chirurgii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Dziecięcej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Ortopedii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Urologii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z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Pododdziałem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Centrum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Leczenia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Oparzeń</w:t>
            </w:r>
            <w:proofErr w:type="spellEnd"/>
            <w:r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w </w:t>
            </w:r>
            <w:proofErr w:type="spellStart"/>
            <w:r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Szczecinie</w:t>
            </w:r>
            <w:proofErr w:type="spellEnd"/>
          </w:p>
          <w:p w14:paraId="22753A2F" w14:textId="77777777" w:rsidR="00C84A33" w:rsidRDefault="00C84A33" w:rsidP="00E50A57">
            <w:pPr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</w:pPr>
            <w:hyperlink r:id="rId9" w:history="1">
              <w:r w:rsidRPr="00271809">
                <w:rPr>
                  <w:rStyle w:val="Hipercze"/>
                  <w:rFonts w:asciiTheme="majorHAnsi" w:eastAsia="Quattrocento Sans" w:hAnsiTheme="majorHAnsi" w:cstheme="majorHAnsi"/>
                  <w:sz w:val="20"/>
                  <w:szCs w:val="20"/>
                  <w:highlight w:val="white"/>
                </w:rPr>
                <w:t>Ahmed.daban@gmail.com</w:t>
              </w:r>
            </w:hyperlink>
          </w:p>
          <w:p w14:paraId="0645F21F" w14:textId="77777777" w:rsidR="00C84A33" w:rsidRPr="00B55701" w:rsidRDefault="00C84A33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</w:p>
        </w:tc>
      </w:tr>
      <w:tr w:rsidR="00C84A33" w:rsidRPr="005F018A" w14:paraId="7A111D28" w14:textId="77777777" w:rsidTr="00E50A57">
        <w:trPr>
          <w:trHeight w:hRule="exact" w:val="728"/>
        </w:trPr>
        <w:tc>
          <w:tcPr>
            <w:tcW w:w="1418" w:type="dxa"/>
            <w:shd w:val="pct20" w:color="auto" w:fill="FFFFFF"/>
          </w:tcPr>
          <w:p w14:paraId="2309B39A" w14:textId="77777777" w:rsidR="00C84A33" w:rsidRPr="00DD5DB7" w:rsidRDefault="00C84A33" w:rsidP="00E50A57">
            <w:pPr>
              <w:rPr>
                <w:rFonts w:ascii="Calibri" w:hAnsi="Calibri" w:cs="Calibri"/>
                <w:b/>
                <w:bCs/>
                <w:sz w:val="14"/>
                <w:szCs w:val="14"/>
                <w:lang w:val="pl-PL"/>
              </w:rPr>
            </w:pPr>
            <w:r w:rsidRPr="00DD5DB7">
              <w:rPr>
                <w:rFonts w:ascii="Calibri" w:hAnsi="Calibri" w:cs="Calibri"/>
                <w:b/>
                <w:bCs/>
                <w:sz w:val="14"/>
                <w:szCs w:val="14"/>
                <w:lang w:val="pl-PL"/>
              </w:rPr>
              <w:t xml:space="preserve">XXI Sympozjum Interdyscyplinarne </w:t>
            </w:r>
          </w:p>
          <w:p w14:paraId="463BD131" w14:textId="77777777" w:rsidR="00C84A33" w:rsidRPr="00DD5DB7" w:rsidRDefault="00C84A33" w:rsidP="00E50A57">
            <w:pPr>
              <w:rPr>
                <w:rFonts w:ascii="Calibri" w:hAnsi="Calibri" w:cs="Calibri"/>
                <w:b/>
                <w:bCs/>
                <w:sz w:val="14"/>
                <w:szCs w:val="14"/>
                <w:lang w:val="pl-PL"/>
              </w:rPr>
            </w:pPr>
            <w:r w:rsidRPr="00DD5DB7">
              <w:rPr>
                <w:rFonts w:ascii="Calibri" w:hAnsi="Calibri" w:cs="Calibri"/>
                <w:b/>
                <w:bCs/>
                <w:sz w:val="14"/>
                <w:szCs w:val="14"/>
                <w:lang w:val="pl-PL"/>
              </w:rPr>
              <w:t>6  grudnia 2024</w:t>
            </w:r>
          </w:p>
          <w:p w14:paraId="7FD5321E" w14:textId="77777777" w:rsidR="00C84A33" w:rsidRPr="00DD5DB7" w:rsidRDefault="00C84A33" w:rsidP="00E50A57">
            <w:pPr>
              <w:tabs>
                <w:tab w:val="left" w:pos="1365"/>
              </w:tabs>
              <w:rPr>
                <w:rFonts w:ascii="Calibri" w:hAnsi="Calibri" w:cs="Calibri"/>
                <w:b/>
                <w:bCs/>
                <w:sz w:val="14"/>
                <w:szCs w:val="14"/>
                <w:lang w:val="pl-PL"/>
              </w:rPr>
            </w:pPr>
            <w:r w:rsidRPr="00DD5DB7">
              <w:rPr>
                <w:rFonts w:ascii="Calibri" w:hAnsi="Calibri" w:cs="Calibri"/>
                <w:b/>
                <w:bCs/>
                <w:sz w:val="14"/>
                <w:szCs w:val="14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30F0A9A0" w14:textId="77777777" w:rsidR="00C84A33" w:rsidRPr="00B55701" w:rsidRDefault="00C84A33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</w:p>
        </w:tc>
        <w:tc>
          <w:tcPr>
            <w:tcW w:w="1701" w:type="dxa"/>
            <w:shd w:val="clear" w:color="auto" w:fill="C0C0C0"/>
          </w:tcPr>
          <w:p w14:paraId="1BA83B5D" w14:textId="77777777" w:rsidR="00C84A33" w:rsidRPr="00DD5DB7" w:rsidRDefault="00C84A33" w:rsidP="00E50A57">
            <w:pPr>
              <w:pStyle w:val="Nagwek2"/>
              <w:jc w:val="left"/>
              <w:rPr>
                <w:rFonts w:ascii="Calibri" w:hAnsi="Calibri" w:cs="Calibri"/>
                <w:sz w:val="14"/>
                <w:szCs w:val="14"/>
                <w:highlight w:val="lightGray"/>
              </w:rPr>
            </w:pPr>
            <w:r w:rsidRPr="00DD5DB7">
              <w:rPr>
                <w:rFonts w:ascii="Calibri" w:hAnsi="Calibri" w:cs="Calibri"/>
                <w:sz w:val="14"/>
                <w:szCs w:val="14"/>
                <w:highlight w:val="lightGray"/>
              </w:rPr>
              <w:t xml:space="preserve">XI Konferencja Naukowo-Szkoleniowe </w:t>
            </w:r>
          </w:p>
          <w:p w14:paraId="1FFA2944" w14:textId="77777777" w:rsidR="00C84A33" w:rsidRPr="00DD5DB7" w:rsidRDefault="00C84A33" w:rsidP="00E50A57">
            <w:pPr>
              <w:pStyle w:val="Nagwek2"/>
              <w:jc w:val="left"/>
              <w:rPr>
                <w:rFonts w:ascii="Calibri" w:hAnsi="Calibri" w:cs="Calibri"/>
                <w:sz w:val="14"/>
                <w:szCs w:val="14"/>
                <w:highlight w:val="lightGray"/>
              </w:rPr>
            </w:pPr>
            <w:r w:rsidRPr="00DD5DB7">
              <w:rPr>
                <w:rFonts w:ascii="Calibri" w:hAnsi="Calibri" w:cs="Calibri"/>
                <w:sz w:val="14"/>
                <w:szCs w:val="14"/>
                <w:highlight w:val="lightGray"/>
              </w:rPr>
              <w:t>7 grudnia 2024</w:t>
            </w:r>
          </w:p>
          <w:p w14:paraId="5B0DDE4F" w14:textId="77777777" w:rsidR="00C84A33" w:rsidRPr="00DD5DB7" w:rsidRDefault="00C84A33" w:rsidP="00E50A57">
            <w:pPr>
              <w:rPr>
                <w:rFonts w:ascii="Calibri" w:hAnsi="Calibri" w:cs="Calibri"/>
                <w:b/>
                <w:sz w:val="14"/>
                <w:szCs w:val="14"/>
                <w:highlight w:val="lightGray"/>
                <w:lang w:val="pl-PL"/>
              </w:rPr>
            </w:pPr>
            <w:r w:rsidRPr="00DD5DB7">
              <w:rPr>
                <w:rFonts w:ascii="Calibri" w:hAnsi="Calibri" w:cs="Calibri"/>
                <w:b/>
                <w:sz w:val="14"/>
                <w:szCs w:val="14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3E1656EA" w14:textId="77777777" w:rsidR="00C84A33" w:rsidRPr="00B55701" w:rsidRDefault="00C84A33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  <w:r>
              <w:rPr>
                <w:rFonts w:ascii="Calibri" w:hAnsi="Calibri" w:cs="Calibri"/>
                <w:sz w:val="18"/>
                <w:szCs w:val="20"/>
                <w:lang w:val="pl-PL"/>
              </w:rPr>
              <w:t>x</w:t>
            </w:r>
          </w:p>
        </w:tc>
      </w:tr>
      <w:tr w:rsidR="00C84A33" w:rsidRPr="005F018A" w14:paraId="72584D34" w14:textId="77777777" w:rsidTr="00E50A57">
        <w:trPr>
          <w:trHeight w:hRule="exact" w:val="5813"/>
        </w:trPr>
        <w:tc>
          <w:tcPr>
            <w:tcW w:w="1418" w:type="dxa"/>
            <w:shd w:val="pct20" w:color="auto" w:fill="FFFFFF"/>
          </w:tcPr>
          <w:p w14:paraId="7D9872AD" w14:textId="77777777" w:rsidR="00C84A33" w:rsidRPr="00B55701" w:rsidRDefault="00C84A33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  <w:r w:rsidRPr="00B55701">
              <w:rPr>
                <w:rFonts w:ascii="Calibri" w:hAnsi="Calibri" w:cs="Calibri"/>
                <w:b/>
                <w:bCs/>
                <w:sz w:val="18"/>
                <w:szCs w:val="20"/>
                <w:lang w:val="pl-PL"/>
              </w:rPr>
              <w:t>Streszczenie:</w:t>
            </w:r>
            <w:r w:rsidRPr="00B55701">
              <w:rPr>
                <w:rFonts w:ascii="Calibri" w:hAnsi="Calibri" w:cs="Calibri"/>
                <w:b/>
                <w:bCs/>
                <w:sz w:val="18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5C744D75" w14:textId="77777777" w:rsidR="00C84A33" w:rsidRPr="00000688" w:rsidRDefault="00C84A33" w:rsidP="00E50A57">
            <w:pPr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</w:pPr>
            <w:r w:rsidRPr="00B55701">
              <w:rPr>
                <w:rFonts w:ascii="Calibri" w:hAnsi="Calibri" w:cs="Calibri"/>
                <w:sz w:val="18"/>
                <w:szCs w:val="20"/>
                <w:lang w:val="pl-PL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Eozynofilowe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zapalenie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powięzi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jest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rzadką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chorobą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zapalną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związaną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z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obwodową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eozynofilią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nadmierną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gammaglobulinemią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przykurczami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dowolnego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stawu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Jej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patogeneza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jest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słabo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poznana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Leczenie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polega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głównie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na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podaniu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glikokortykoidów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. </w:t>
            </w:r>
          </w:p>
          <w:p w14:paraId="74CC7005" w14:textId="77777777" w:rsidR="00C84A33" w:rsidRPr="00000688" w:rsidRDefault="00C84A33" w:rsidP="00E50A57">
            <w:pPr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</w:pP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Chociaż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większość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pacjentów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wykazuje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częściową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lub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całkowitą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odpowiedź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na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glikokortykosteroidy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, u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wielu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objawy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choroby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nawracają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po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odstawieniu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leku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. </w:t>
            </w:r>
          </w:p>
          <w:p w14:paraId="61F26CF2" w14:textId="77777777" w:rsidR="00C84A33" w:rsidRPr="00000688" w:rsidRDefault="00C84A33" w:rsidP="00E50A57">
            <w:pPr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</w:pP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Lekami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drugiego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rzutu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są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głównie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metotreksat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(MTX),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azatiopryna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cyklosporyna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hydroksychlorochina</w:t>
            </w:r>
            <w:proofErr w:type="spellEnd"/>
          </w:p>
          <w:p w14:paraId="2C4A66F1" w14:textId="77777777" w:rsidR="00C84A33" w:rsidRPr="00000688" w:rsidRDefault="00C84A33" w:rsidP="00E50A57">
            <w:pPr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</w:pPr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W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tym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przypadku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przedstawiamy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16-letnią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dziewczynkę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która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była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leczona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doustnie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prednizolonem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metotreksatem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, co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nie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przyniosło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skutku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Następnie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została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przeprowadzona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fasciektomia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po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której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zastosowano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leczenie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biologiczne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rytuksymabem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dożylnymi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immunoglobulinami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. </w:t>
            </w:r>
          </w:p>
          <w:p w14:paraId="3D5BFC06" w14:textId="77777777" w:rsidR="00C84A33" w:rsidRPr="00000688" w:rsidRDefault="00C84A33" w:rsidP="00E50A57">
            <w:pPr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</w:pP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Chociaż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pacjentka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wymagała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drugiej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operacji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z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powodu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nawrotu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choroby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odzyskała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zakres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ruchu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dotkniętych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stawów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kilka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tygodni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po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zabiegu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. </w:t>
            </w:r>
          </w:p>
          <w:p w14:paraId="0CE04F2B" w14:textId="77777777" w:rsidR="00C84A33" w:rsidRPr="00000688" w:rsidRDefault="00C84A33" w:rsidP="00E50A57">
            <w:pPr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</w:pPr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W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niniejszym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opracowaniu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omówiono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skuteczność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chirurgicznego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leczenia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eozynofilowego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zapalenia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powięzi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jako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metody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szybkiego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łagodzenia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objawów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umożliwiającego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pacjentom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szybsze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wznowienie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codziennych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czynności</w:t>
            </w:r>
            <w:proofErr w:type="spellEnd"/>
            <w:r w:rsidRPr="00000688">
              <w:rPr>
                <w:rFonts w:asciiTheme="majorHAnsi" w:eastAsia="Quattrocento Sans" w:hAnsiTheme="majorHAnsi" w:cstheme="majorHAnsi"/>
                <w:color w:val="212121"/>
                <w:sz w:val="20"/>
                <w:szCs w:val="20"/>
                <w:highlight w:val="white"/>
              </w:rPr>
              <w:t>.</w:t>
            </w:r>
          </w:p>
          <w:p w14:paraId="1449E80F" w14:textId="77777777" w:rsidR="00C84A33" w:rsidRPr="00B55701" w:rsidRDefault="00C84A33" w:rsidP="00E50A57">
            <w:pPr>
              <w:rPr>
                <w:rFonts w:ascii="Calibri" w:hAnsi="Calibri" w:cs="Calibri"/>
                <w:sz w:val="18"/>
                <w:szCs w:val="20"/>
                <w:lang w:val="pl-PL"/>
              </w:rPr>
            </w:pPr>
          </w:p>
        </w:tc>
      </w:tr>
    </w:tbl>
    <w:p w14:paraId="4096C837" w14:textId="77777777" w:rsidR="00C84A33" w:rsidRPr="005C1A71" w:rsidRDefault="00C84A33" w:rsidP="00C84A33">
      <w:pPr>
        <w:rPr>
          <w:lang w:val="pl-PL"/>
        </w:rPr>
      </w:pPr>
    </w:p>
    <w:p w14:paraId="1DEDEDAB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22230499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3474283E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67389103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00200CAA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689290CD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59C9E768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31BF6E54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17F8556C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2CF1DFF6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56299E08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15A0858E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4A305A99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3C107A65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5F345439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30400D59" w14:textId="77777777" w:rsidR="00C84A33" w:rsidRDefault="00C84A33" w:rsidP="00C84A33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C84A33" w:rsidRPr="00634367" w14:paraId="28BEC417" w14:textId="77777777" w:rsidTr="00E50A57">
        <w:trPr>
          <w:trHeight w:hRule="exact" w:val="822"/>
        </w:trPr>
        <w:tc>
          <w:tcPr>
            <w:tcW w:w="1418" w:type="dxa"/>
            <w:shd w:val="pct20" w:color="auto" w:fill="FFFFFF"/>
          </w:tcPr>
          <w:p w14:paraId="244CD3BE" w14:textId="77777777" w:rsidR="00C84A33" w:rsidRPr="00634367" w:rsidRDefault="00C84A33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4367">
              <w:rPr>
                <w:rFonts w:asciiTheme="minorHAnsi" w:hAnsiTheme="minorHAnsi" w:cstheme="minorHAnsi"/>
                <w:sz w:val="20"/>
                <w:szCs w:val="20"/>
              </w:rPr>
              <w:t>Tytuł</w:t>
            </w:r>
            <w:proofErr w:type="spellEnd"/>
            <w:r w:rsidRPr="006343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263F3A5" w14:textId="77777777" w:rsidR="00C84A33" w:rsidRPr="00634367" w:rsidRDefault="00C84A33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3F86CFB1" w14:textId="77777777" w:rsidR="00C84A33" w:rsidRPr="00634367" w:rsidRDefault="00C84A33" w:rsidP="00E50A57">
            <w:pPr>
              <w:pStyle w:val="p1"/>
              <w:rPr>
                <w:rFonts w:asciiTheme="minorHAnsi" w:hAnsiTheme="minorHAnsi" w:cstheme="minorHAnsi"/>
                <w:sz w:val="20"/>
                <w:szCs w:val="20"/>
              </w:rPr>
            </w:pPr>
            <w:r w:rsidRPr="00634367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 xml:space="preserve">Zespół ucisku tętnicy krezkowej górnej i zespół ucisku pnia trzewnego - (nie)typowe </w:t>
            </w:r>
            <w:proofErr w:type="spellStart"/>
            <w:r w:rsidRPr="00634367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case</w:t>
            </w:r>
            <w:proofErr w:type="spellEnd"/>
            <w:r w:rsidRPr="00634367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4367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study</w:t>
            </w:r>
            <w:proofErr w:type="spellEnd"/>
          </w:p>
          <w:p w14:paraId="31DA8F78" w14:textId="77777777" w:rsidR="00C84A33" w:rsidRPr="00634367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84A33" w:rsidRPr="00634367" w14:paraId="56B0B202" w14:textId="77777777" w:rsidTr="00E50A57">
        <w:trPr>
          <w:trHeight w:hRule="exact" w:val="639"/>
        </w:trPr>
        <w:tc>
          <w:tcPr>
            <w:tcW w:w="1418" w:type="dxa"/>
            <w:shd w:val="pct20" w:color="auto" w:fill="FFFFFF"/>
          </w:tcPr>
          <w:p w14:paraId="3975637F" w14:textId="77777777" w:rsidR="00C84A33" w:rsidRPr="00634367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343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</w:tcPr>
          <w:p w14:paraId="6776E15E" w14:textId="77777777" w:rsidR="00C84A33" w:rsidRPr="00634367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6343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W.Lotkowska</w:t>
            </w:r>
            <w:proofErr w:type="spellEnd"/>
            <w:r w:rsidRPr="006343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P. </w:t>
            </w:r>
            <w:proofErr w:type="spellStart"/>
            <w:r w:rsidRPr="006343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Czauderna</w:t>
            </w:r>
            <w:proofErr w:type="spellEnd"/>
            <w:r w:rsidRPr="006343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A. Gołębiewski, M. Łosin</w:t>
            </w:r>
          </w:p>
        </w:tc>
      </w:tr>
      <w:tr w:rsidR="00C84A33" w:rsidRPr="00634367" w14:paraId="21AF69F6" w14:textId="77777777" w:rsidTr="00E50A57">
        <w:trPr>
          <w:trHeight w:hRule="exact" w:val="706"/>
        </w:trPr>
        <w:tc>
          <w:tcPr>
            <w:tcW w:w="1418" w:type="dxa"/>
            <w:shd w:val="pct20" w:color="auto" w:fill="FFFFFF"/>
          </w:tcPr>
          <w:p w14:paraId="53A9CEEB" w14:textId="77777777" w:rsidR="00C84A33" w:rsidRPr="00634367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343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Ośrodek:</w:t>
            </w:r>
          </w:p>
          <w:p w14:paraId="3473DF32" w14:textId="77777777" w:rsidR="00C84A33" w:rsidRPr="00634367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343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5C464220" w14:textId="77777777" w:rsidR="00C84A33" w:rsidRPr="00634367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343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Klinika Chirurgii i Urologii Dzieci i Młodzieży UCK w Gdańsku </w:t>
            </w:r>
          </w:p>
          <w:p w14:paraId="0E63B1FA" w14:textId="77777777" w:rsidR="00C84A33" w:rsidRPr="00634367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343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lotkowskaweronika@uck.gda.pl</w:t>
            </w:r>
          </w:p>
        </w:tc>
      </w:tr>
      <w:tr w:rsidR="00C84A33" w:rsidRPr="00634367" w14:paraId="5459D1EC" w14:textId="77777777" w:rsidTr="00E50A57">
        <w:trPr>
          <w:trHeight w:hRule="exact" w:val="1012"/>
        </w:trPr>
        <w:tc>
          <w:tcPr>
            <w:tcW w:w="1418" w:type="dxa"/>
            <w:shd w:val="pct20" w:color="auto" w:fill="FFFFFF"/>
          </w:tcPr>
          <w:p w14:paraId="6180C74D" w14:textId="77777777" w:rsidR="00C84A33" w:rsidRPr="00634367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343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246AB302" w14:textId="77777777" w:rsidR="00C84A33" w:rsidRPr="00634367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343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  grudnia 2024</w:t>
            </w:r>
          </w:p>
          <w:p w14:paraId="2C622BFE" w14:textId="77777777" w:rsidR="00C84A33" w:rsidRPr="00634367" w:rsidRDefault="00C84A33" w:rsidP="00E50A57">
            <w:pPr>
              <w:tabs>
                <w:tab w:val="left" w:pos="1365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343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4D3E8810" w14:textId="77777777" w:rsidR="00C84A33" w:rsidRPr="00634367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shd w:val="clear" w:color="auto" w:fill="C0C0C0"/>
          </w:tcPr>
          <w:p w14:paraId="72F6B104" w14:textId="77777777" w:rsidR="00C84A33" w:rsidRPr="00634367" w:rsidRDefault="00C84A33" w:rsidP="00E50A57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63436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7CF1D32C" w14:textId="77777777" w:rsidR="00C84A33" w:rsidRPr="00634367" w:rsidRDefault="00C84A33" w:rsidP="00E50A57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63436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643F2E67" w14:textId="77777777" w:rsidR="00C84A33" w:rsidRPr="00634367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</w:pPr>
            <w:r w:rsidRPr="00634367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66E40327" w14:textId="77777777" w:rsidR="00C84A33" w:rsidRPr="00634367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343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        X </w:t>
            </w:r>
          </w:p>
        </w:tc>
      </w:tr>
      <w:tr w:rsidR="00C84A33" w:rsidRPr="00634367" w14:paraId="189E5B91" w14:textId="77777777" w:rsidTr="00E50A57">
        <w:trPr>
          <w:trHeight w:hRule="exact" w:val="6100"/>
        </w:trPr>
        <w:tc>
          <w:tcPr>
            <w:tcW w:w="1418" w:type="dxa"/>
            <w:shd w:val="pct20" w:color="auto" w:fill="FFFFFF"/>
          </w:tcPr>
          <w:p w14:paraId="14D73403" w14:textId="77777777" w:rsidR="00C84A33" w:rsidRPr="00634367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343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Streszczenie:</w:t>
            </w:r>
            <w:r w:rsidRPr="006343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1EF3126F" w14:textId="77777777" w:rsidR="00C84A33" w:rsidRDefault="00C84A33" w:rsidP="00E50A57">
            <w:pPr>
              <w:pStyle w:val="p1"/>
              <w:rPr>
                <w:rStyle w:val="s1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343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34367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W świecie chirurgii charakteryzujemy się na co dzień konkretnym podejściem</w:t>
            </w:r>
            <w:r w:rsidRPr="00634367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634367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 xml:space="preserve">- jest guz, usuwamy guz. Natychmiastowy efekt naszego działania w postaci usunięcia czegoś patologicznego skutkuje obiektywnie potwierdzonym badaniami wyleczeniem, poprawą stanu klinicznego pacjenta, ustąpieniem dolegliwości powodowanych przez daną jednostkę chorobową. Ścieżka diagnostyki i leczenia jest również dość typowa. W przypadku wyżej wymienionych jednostek chorobowych, zespołów ucisku na duże naczynia, mamy sytuację co najmniej nietypową - po pierwsze zawiłą ścieżkę diagnostyki i postawienia rozpoznania. Po drugie wynikający z tego charakterystyczny rys psychologiczny pacjenta - to dzieci z przewlekłymi dolegliwościami bólowymi, bez uchwytnego punktu wyjścia, często przez lata próbujące przekonać rodziców i lekarzy, ze naprawdę odczuwają dyskomfort. Po trzecie - czy da się obiektywnie ocenić efekt podjętego już leczenia zabiegowego? </w:t>
            </w:r>
          </w:p>
          <w:p w14:paraId="6E1700C4" w14:textId="77777777" w:rsidR="00C84A33" w:rsidRDefault="00C84A33" w:rsidP="00E50A57">
            <w:pPr>
              <w:pStyle w:val="p1"/>
              <w:rPr>
                <w:rStyle w:val="s1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0385543F" w14:textId="77777777" w:rsidR="00C84A33" w:rsidRPr="00634367" w:rsidRDefault="00C84A33" w:rsidP="00E50A57">
            <w:pPr>
              <w:pStyle w:val="p1"/>
              <w:rPr>
                <w:rFonts w:asciiTheme="minorHAnsi" w:hAnsiTheme="minorHAnsi" w:cstheme="minorHAnsi"/>
                <w:sz w:val="20"/>
                <w:szCs w:val="20"/>
              </w:rPr>
            </w:pPr>
            <w:r w:rsidRPr="00634367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 xml:space="preserve">Czy pacjent przyzwyczajony do odczuwania przewlekłego bólu będzie umiał odróżnić, </w:t>
            </w:r>
            <w:r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ż</w:t>
            </w:r>
            <w:r w:rsidRPr="00634367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 xml:space="preserve">e „skończył” się jeden jego rodzaj i jak szybko odczuje realną poprawę? Jak ją oceniać biorąc pod uwagę, ze w tym przypadku decydują głównie odczucia pacjenta, a nie badania obrazowe czy wyniki laboratoryjne. Dołóżmy do wyżej wymienionych pytań również zapytanie „jak?” odnoszące się do naszego chirurgicznego, technicznego punktu widzenia - bardzo niewielka baza pacjentów z takim rozpoznaniem, konieczność preparowania w okolicy dużych naczyń jamy brzusznej oraz propagowanie podejścia małoinwazyjnego stwarza niemałe i bardzo ciekawe wyzwanie dla nas, chirurgów. Wszystkie powyższe aspekty postaramy się rozważyć w poniższej pracy na podstawie przypadku dwóch pacjentek operowanych w Klinice Chirurgii i Urologii Dzieci i Młodzieży UCK w Gdańsku w roku 2024. </w:t>
            </w:r>
            <w:r w:rsidRPr="00634367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CFD9DE0" w14:textId="77777777" w:rsidR="00C84A33" w:rsidRPr="00634367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0E2B7E34" w14:textId="77777777" w:rsidR="00C84A33" w:rsidRPr="005C1A71" w:rsidRDefault="00C84A33" w:rsidP="00C84A33">
      <w:pPr>
        <w:rPr>
          <w:lang w:val="pl-PL"/>
        </w:rPr>
      </w:pPr>
    </w:p>
    <w:p w14:paraId="758FFF3F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1DB61D19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6E870931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4D789715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2648EB41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5675E24C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0377549B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13F56D5E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49716552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1E48E125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6CF2008F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1B0C7007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47327C9B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0412AF6F" w14:textId="77777777" w:rsidR="00C84A33" w:rsidRDefault="00C84A33" w:rsidP="00C84A33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C84A33" w:rsidRPr="00934B54" w14:paraId="124772E3" w14:textId="77777777" w:rsidTr="00E50A57">
        <w:trPr>
          <w:trHeight w:hRule="exact" w:val="628"/>
        </w:trPr>
        <w:tc>
          <w:tcPr>
            <w:tcW w:w="1418" w:type="dxa"/>
            <w:shd w:val="pct20" w:color="auto" w:fill="FFFFFF"/>
          </w:tcPr>
          <w:p w14:paraId="5BE0F5D6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54">
              <w:rPr>
                <w:rFonts w:asciiTheme="minorHAnsi" w:hAnsiTheme="minorHAnsi" w:cstheme="minorHAnsi"/>
                <w:sz w:val="20"/>
                <w:szCs w:val="20"/>
              </w:rPr>
              <w:t>Tytuł</w:t>
            </w:r>
            <w:proofErr w:type="spellEnd"/>
            <w:r w:rsidRPr="00934B5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043FBA4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2B19A7CF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Co może zaskoczyć w chirurgii noworodka? Seria </w:t>
            </w:r>
            <w:proofErr w:type="spellStart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case</w:t>
            </w:r>
            <w:proofErr w:type="spellEnd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reports</w:t>
            </w:r>
            <w:proofErr w:type="spellEnd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  <w:tr w:rsidR="00C84A33" w:rsidRPr="00934B54" w14:paraId="588BEF24" w14:textId="77777777" w:rsidTr="00E50A57">
        <w:trPr>
          <w:trHeight w:hRule="exact" w:val="639"/>
        </w:trPr>
        <w:tc>
          <w:tcPr>
            <w:tcW w:w="1418" w:type="dxa"/>
            <w:shd w:val="pct20" w:color="auto" w:fill="FFFFFF"/>
          </w:tcPr>
          <w:p w14:paraId="5A0F3B44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</w:tcPr>
          <w:p w14:paraId="15618083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Piotrowicz Wojciech[1], </w:t>
            </w:r>
            <w:proofErr w:type="spellStart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Rzanny-Owczarzak</w:t>
            </w:r>
            <w:proofErr w:type="spellEnd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Małgorzata[1], Becela Piotr[1], </w:t>
            </w:r>
            <w:proofErr w:type="spellStart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Mazela</w:t>
            </w:r>
            <w:proofErr w:type="spellEnd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Jan[2], Sosnowska-Sienkiewicz Patrycja[1], Mańkowski Przemysław[1]</w:t>
            </w:r>
          </w:p>
        </w:tc>
      </w:tr>
      <w:tr w:rsidR="00C84A33" w:rsidRPr="00934B54" w14:paraId="7CA2DCCE" w14:textId="77777777" w:rsidTr="00E50A57">
        <w:trPr>
          <w:trHeight w:hRule="exact" w:val="706"/>
        </w:trPr>
        <w:tc>
          <w:tcPr>
            <w:tcW w:w="1418" w:type="dxa"/>
            <w:shd w:val="pct20" w:color="auto" w:fill="FFFFFF"/>
          </w:tcPr>
          <w:p w14:paraId="0B6211D9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Ośrodek:</w:t>
            </w:r>
          </w:p>
          <w:p w14:paraId="4C53562C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341DB37F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1. Klinika Chirurgii, Traumatologii i Urologii Dziecięcej UM im. Karola Marcinkowskiego w Poznaniu</w:t>
            </w:r>
          </w:p>
          <w:p w14:paraId="727BDCFC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hyperlink r:id="rId10" w:history="1">
              <w:r w:rsidRPr="00934B54"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val="pl-PL"/>
                </w:rPr>
                <w:t>sekretchir@skp.ump.edu.pl</w:t>
              </w:r>
            </w:hyperlink>
          </w:p>
          <w:p w14:paraId="14D9A530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2. I Klinika Neonatologii UM im. Karola Marcinkowskiego w Poznaniu</w:t>
            </w:r>
          </w:p>
        </w:tc>
      </w:tr>
      <w:tr w:rsidR="00C84A33" w:rsidRPr="00934B54" w14:paraId="72EF64E2" w14:textId="77777777" w:rsidTr="00E50A57">
        <w:trPr>
          <w:trHeight w:hRule="exact" w:val="1012"/>
        </w:trPr>
        <w:tc>
          <w:tcPr>
            <w:tcW w:w="1418" w:type="dxa"/>
            <w:shd w:val="pct20" w:color="auto" w:fill="FFFFFF"/>
          </w:tcPr>
          <w:p w14:paraId="0EFDB7C9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368051B1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  grudnia 2024</w:t>
            </w:r>
          </w:p>
          <w:p w14:paraId="73CACB90" w14:textId="77777777" w:rsidR="00C84A33" w:rsidRPr="00934B54" w:rsidRDefault="00C84A33" w:rsidP="00E50A57">
            <w:pPr>
              <w:tabs>
                <w:tab w:val="left" w:pos="1365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45F05277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shd w:val="clear" w:color="auto" w:fill="C0C0C0"/>
          </w:tcPr>
          <w:p w14:paraId="2F988283" w14:textId="77777777" w:rsidR="00C84A33" w:rsidRPr="00934B54" w:rsidRDefault="00C84A33" w:rsidP="00E50A57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934B5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08D3A8EB" w14:textId="77777777" w:rsidR="00C84A33" w:rsidRPr="00934B54" w:rsidRDefault="00C84A33" w:rsidP="00E50A57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934B5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3B04043B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24232281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84A33" w:rsidRPr="00934B54" w14:paraId="27268A44" w14:textId="77777777" w:rsidTr="00E50A57">
        <w:trPr>
          <w:trHeight w:hRule="exact" w:val="8692"/>
        </w:trPr>
        <w:tc>
          <w:tcPr>
            <w:tcW w:w="1418" w:type="dxa"/>
            <w:shd w:val="pct20" w:color="auto" w:fill="FFFFFF"/>
          </w:tcPr>
          <w:p w14:paraId="64FE30E1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Streszczenie:</w:t>
            </w: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06A60E78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Chirurgia noworodka to wyspecjalizowana dziedzina chirurgii skupiona na operacjach u pacjentów do 28. doby życia w przypadku noworodków donoszonych oraz starszych w przypadku </w:t>
            </w:r>
            <w:proofErr w:type="spellStart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wcześniaków.Pacjenci</w:t>
            </w:r>
            <w:proofErr w:type="spellEnd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ci różnią się od starszych dzieci w wielu aspektach m. in. fizjologii, metabolizmu, rozmiarów narządów. Wszystko to powoduje konieczność odpowiedniego dostosowania postępowania chirurgicznego. Operacje u noworodków często dotyczą wad wrodzonych, które nieleczone w pierwszych dobach, a nawet godzinach życia i stanowią stany bezpośredniego zagrożenia życia. Pomimo coraz lepiej zdefiniowanych standardów postępowania, chirurg dziecięcy w codziennej pracy wciąż napotyka na sytuacje, które wykraczają poza dotychczasową wiedzę i ustalone schematy postepowania.</w:t>
            </w:r>
          </w:p>
          <w:p w14:paraId="2B85C632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Celem pracy jest przedstawienie 3 interesujących przypadków klinicznych noworodków leczonych przez zespół lekarzy z naszej Kliniki.</w:t>
            </w:r>
          </w:p>
          <w:p w14:paraId="46113345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Pierwszy opisany pacjent, wcześniak urodzony w 35 </w:t>
            </w:r>
            <w:proofErr w:type="spellStart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t.c</w:t>
            </w:r>
            <w:proofErr w:type="spellEnd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., płci żeńskiej, był obserwowany z powodu wykrytej  prenatalnie, powiększającej się zmiany torbielowatej w jamie brzusznej po stronie prawej oraz narastającej niewydolności oddechowej po porodzie. W USG wykryto zmianę </w:t>
            </w:r>
            <w:proofErr w:type="spellStart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cystyczną</w:t>
            </w:r>
            <w:proofErr w:type="spellEnd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 wymiarach do 11cm, wypełniającą niemal całą jamę brzuszną, uciskającą na przeponę. Zastosowane leczenie zabiegowe polegało na przezskórnym nakłuciu zmiany za pomocą zestawu typu </w:t>
            </w:r>
            <w:proofErr w:type="spellStart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Cystofix</w:t>
            </w:r>
            <w:proofErr w:type="spellEnd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z pozostawieniem cewnika przez kilka dni. Od 7 miesięcy dziecko kontrolowane ambulatoryjnie, bez cech wznowy.</w:t>
            </w:r>
          </w:p>
          <w:p w14:paraId="1CE8C65E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Drugi leczony przez nas pacjent to noworodek z </w:t>
            </w:r>
            <w:proofErr w:type="spellStart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wielowad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ziem</w:t>
            </w:r>
            <w:proofErr w:type="spellEnd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m. in. wrodzoną dużą przepukliną pępowinową leczoną dwuetapowo. W 1. dobie życia wykonano wszycie worka SILO, a w 9. dobie życia warstwowe odtworzenie powłok jamy brzusznej. Od początku uwagę zwracało, poza niedokonanym zwrotem jelita środkowego, powiększenie wątroby i jej nietypowej ułożenie. Po kilkunastu dniach od drugiego zabiegu pacjentka rozwinęła objawy niedrożności przewodu pokarmowego. Wykonane badania kontrastowe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pokazały końcowy odcinek jelita grubego oraz masywnie </w:t>
            </w:r>
            <w:proofErr w:type="spellStart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refluksujący</w:t>
            </w:r>
            <w:proofErr w:type="spellEnd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żołądek. Podczas zwiadowczej laparotomii stwierdzono ucisk więzadła wątrobowego na odźwiernik i dwunastnicę, masywne zrosty, zadzierzgnięcie jelita czczego wokół krótkiego wspólnego korzenia krezki oraz zarośnięcie jelita krętego tuż przed zastawką </w:t>
            </w:r>
            <w:proofErr w:type="spellStart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Bauhina</w:t>
            </w:r>
            <w:proofErr w:type="spellEnd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290ED7FF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Trzeci pacjent to noworodek płci żeńskiej z wrodzoną prawostronną przepukliną przeponową, zaopatrzoną za pomocą 2 łat:  </w:t>
            </w:r>
            <w:proofErr w:type="spellStart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goreteksowej</w:t>
            </w:r>
            <w:proofErr w:type="spellEnd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dakronowo-welurowej</w:t>
            </w:r>
            <w:proofErr w:type="spellEnd"/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Wiele miesięcy po operacji doszło do wydalenia łat drogą przewodu pokarmowego ze stolcem.</w:t>
            </w:r>
          </w:p>
          <w:p w14:paraId="39810EEE" w14:textId="77777777" w:rsidR="00C84A33" w:rsidRPr="00934B54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4B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Podsumowując, chirurgia noworodka mimo wielu lat doświadczenia potrafi zaskoczyć lekarza operującego. Niezmiennie ważna pozostaje współpraca wielospecjalistyczna oraz stałe poszerzanie swojej wiedzy o aktualne standardy postępowania.</w:t>
            </w:r>
          </w:p>
        </w:tc>
      </w:tr>
    </w:tbl>
    <w:p w14:paraId="0C932953" w14:textId="77777777" w:rsidR="00C84A33" w:rsidRPr="006E533E" w:rsidRDefault="00C84A33" w:rsidP="00C84A33">
      <w:pPr>
        <w:rPr>
          <w:lang w:val="pl-PL"/>
        </w:rPr>
      </w:pPr>
    </w:p>
    <w:p w14:paraId="76E32BC2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5ED796C4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0FBFB519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48933608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528CA25A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61084C15" w14:textId="77777777" w:rsidR="00C84A33" w:rsidRDefault="00C84A33" w:rsidP="00C84A33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C84A33" w:rsidRPr="00A740A6" w14:paraId="19BE23CE" w14:textId="77777777" w:rsidTr="00E50A57">
        <w:trPr>
          <w:trHeight w:hRule="exact" w:val="628"/>
        </w:trPr>
        <w:tc>
          <w:tcPr>
            <w:tcW w:w="1418" w:type="dxa"/>
            <w:shd w:val="pct20" w:color="auto" w:fill="FFFFFF"/>
          </w:tcPr>
          <w:p w14:paraId="165BB2B3" w14:textId="77777777" w:rsidR="00C84A33" w:rsidRPr="00A740A6" w:rsidRDefault="00C84A33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740A6">
              <w:rPr>
                <w:rFonts w:ascii="Calibri" w:hAnsi="Calibri" w:cs="Calibri"/>
                <w:sz w:val="20"/>
                <w:szCs w:val="20"/>
              </w:rPr>
              <w:t>Tytuł</w:t>
            </w:r>
            <w:proofErr w:type="spellEnd"/>
            <w:r w:rsidRPr="00A740A6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56E3342C" w14:textId="77777777" w:rsidR="00C84A33" w:rsidRPr="00A740A6" w:rsidRDefault="00C84A33" w:rsidP="00E50A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65557032" w14:textId="77777777" w:rsidR="00C84A33" w:rsidRPr="00A740A6" w:rsidRDefault="00C84A33" w:rsidP="00E50A57">
            <w:pPr>
              <w:pStyle w:val="Bezodstpw"/>
              <w:rPr>
                <w:sz w:val="20"/>
                <w:szCs w:val="20"/>
              </w:rPr>
            </w:pPr>
            <w:r w:rsidRPr="00A740A6">
              <w:rPr>
                <w:sz w:val="20"/>
                <w:szCs w:val="20"/>
              </w:rPr>
              <w:t>Ostry brzuch u noworodka z podejrzeniem pękniętego guza wątroby – opis przypadku</w:t>
            </w:r>
          </w:p>
        </w:tc>
      </w:tr>
      <w:tr w:rsidR="00C84A33" w:rsidRPr="00A740A6" w14:paraId="4D695C69" w14:textId="77777777" w:rsidTr="00E50A57">
        <w:trPr>
          <w:trHeight w:hRule="exact" w:val="424"/>
        </w:trPr>
        <w:tc>
          <w:tcPr>
            <w:tcW w:w="1418" w:type="dxa"/>
            <w:shd w:val="pct20" w:color="auto" w:fill="FFFFFF"/>
          </w:tcPr>
          <w:p w14:paraId="2E70500E" w14:textId="77777777" w:rsidR="00C84A33" w:rsidRPr="00A740A6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740A6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</w:tcPr>
          <w:p w14:paraId="25BC0819" w14:textId="77777777" w:rsidR="00C84A33" w:rsidRPr="00A740A6" w:rsidRDefault="00C84A33" w:rsidP="00E50A57">
            <w:pPr>
              <w:pStyle w:val="Bezodstpw"/>
              <w:rPr>
                <w:sz w:val="20"/>
                <w:szCs w:val="20"/>
              </w:rPr>
            </w:pPr>
            <w:r w:rsidRPr="00A740A6">
              <w:rPr>
                <w:sz w:val="20"/>
                <w:szCs w:val="20"/>
              </w:rPr>
              <w:t xml:space="preserve">Małgorzata </w:t>
            </w:r>
            <w:proofErr w:type="spellStart"/>
            <w:r w:rsidRPr="00A740A6">
              <w:rPr>
                <w:sz w:val="20"/>
                <w:szCs w:val="20"/>
              </w:rPr>
              <w:t>Rzanny-Owczarzak</w:t>
            </w:r>
            <w:proofErr w:type="spellEnd"/>
            <w:r w:rsidRPr="00A740A6">
              <w:rPr>
                <w:sz w:val="20"/>
                <w:szCs w:val="20"/>
              </w:rPr>
              <w:t>, Patrycja Sosnowska-Sienkiewicz</w:t>
            </w:r>
          </w:p>
          <w:p w14:paraId="398F66D9" w14:textId="77777777" w:rsidR="00C84A33" w:rsidRPr="00A740A6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84A33" w:rsidRPr="00A740A6" w14:paraId="142F8387" w14:textId="77777777" w:rsidTr="00E50A57">
        <w:trPr>
          <w:trHeight w:hRule="exact" w:val="854"/>
        </w:trPr>
        <w:tc>
          <w:tcPr>
            <w:tcW w:w="1418" w:type="dxa"/>
            <w:shd w:val="pct20" w:color="auto" w:fill="FFFFFF"/>
          </w:tcPr>
          <w:p w14:paraId="5E0B1038" w14:textId="77777777" w:rsidR="00C84A33" w:rsidRPr="00A740A6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740A6">
              <w:rPr>
                <w:rFonts w:ascii="Calibri" w:hAnsi="Calibri" w:cs="Calibri"/>
                <w:sz w:val="20"/>
                <w:szCs w:val="20"/>
                <w:lang w:val="pl-PL"/>
              </w:rPr>
              <w:t>Ośrodek:</w:t>
            </w:r>
          </w:p>
          <w:p w14:paraId="697A19A5" w14:textId="77777777" w:rsidR="00C84A33" w:rsidRPr="00A740A6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740A6">
              <w:rPr>
                <w:rFonts w:ascii="Calibri" w:hAnsi="Calibri" w:cs="Calibr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0C36BEF6" w14:textId="77777777" w:rsidR="00C84A33" w:rsidRPr="00A740A6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740A6">
              <w:rPr>
                <w:rFonts w:ascii="Calibri" w:hAnsi="Calibri" w:cs="Calibri"/>
                <w:sz w:val="20"/>
                <w:szCs w:val="20"/>
                <w:lang w:val="pl-PL"/>
              </w:rPr>
              <w:t xml:space="preserve">Klinika Chirurgii, Traumatologii i Urologii Dziecięcej Uniwersytetu Medycznego im. Karola Marcinkowskiego w Poznaniu </w:t>
            </w:r>
          </w:p>
          <w:p w14:paraId="2B48AC0D" w14:textId="77777777" w:rsidR="00C84A33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740A6">
              <w:rPr>
                <w:rFonts w:ascii="Calibri" w:hAnsi="Calibri" w:cs="Calibri"/>
                <w:sz w:val="20"/>
                <w:szCs w:val="20"/>
                <w:lang w:val="pl-PL"/>
              </w:rPr>
              <w:t xml:space="preserve">chirurgia@skp.ump.edu.pl                   </w:t>
            </w:r>
            <w:hyperlink r:id="rId11" w:history="1">
              <w:r w:rsidRPr="00702162">
                <w:rPr>
                  <w:rStyle w:val="Hipercze"/>
                  <w:rFonts w:ascii="Calibri" w:hAnsi="Calibri" w:cs="Calibri"/>
                  <w:sz w:val="20"/>
                  <w:szCs w:val="20"/>
                  <w:lang w:val="pl-PL"/>
                </w:rPr>
                <w:t>malgorzata.rzanny@gmail.com</w:t>
              </w:r>
            </w:hyperlink>
          </w:p>
          <w:p w14:paraId="1DFD298B" w14:textId="77777777" w:rsidR="00C84A33" w:rsidRPr="00A740A6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84A33" w:rsidRPr="00A740A6" w14:paraId="2F529DDF" w14:textId="77777777" w:rsidTr="00E50A57">
        <w:trPr>
          <w:trHeight w:hRule="exact" w:val="992"/>
        </w:trPr>
        <w:tc>
          <w:tcPr>
            <w:tcW w:w="1418" w:type="dxa"/>
            <w:shd w:val="pct20" w:color="auto" w:fill="FFFFFF"/>
          </w:tcPr>
          <w:p w14:paraId="7DD59733" w14:textId="77777777" w:rsidR="00C84A33" w:rsidRPr="00A740A6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740A6">
              <w:rPr>
                <w:rFonts w:ascii="Calibri" w:hAnsi="Calibri" w:cs="Calibr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06167279" w14:textId="77777777" w:rsidR="00C84A33" w:rsidRPr="00A740A6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740A6">
              <w:rPr>
                <w:rFonts w:ascii="Calibri" w:hAnsi="Calibri" w:cs="Calibri"/>
                <w:sz w:val="20"/>
                <w:szCs w:val="20"/>
                <w:lang w:val="pl-PL"/>
              </w:rPr>
              <w:t>6  grudnia 2024</w:t>
            </w:r>
          </w:p>
          <w:p w14:paraId="263231A6" w14:textId="77777777" w:rsidR="00C84A33" w:rsidRPr="00A740A6" w:rsidRDefault="00C84A33" w:rsidP="00E50A57">
            <w:pPr>
              <w:tabs>
                <w:tab w:val="left" w:pos="1365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740A6">
              <w:rPr>
                <w:rFonts w:ascii="Calibri" w:hAnsi="Calibri" w:cs="Calibr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6EA76ECA" w14:textId="77777777" w:rsidR="00C84A33" w:rsidRPr="00A740A6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shd w:val="clear" w:color="auto" w:fill="C0C0C0"/>
          </w:tcPr>
          <w:p w14:paraId="28523225" w14:textId="77777777" w:rsidR="00C84A33" w:rsidRPr="00A740A6" w:rsidRDefault="00C84A33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A740A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745A8B88" w14:textId="77777777" w:rsidR="00C84A33" w:rsidRPr="00A740A6" w:rsidRDefault="00C84A33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A740A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50A7D54B" w14:textId="77777777" w:rsidR="00C84A33" w:rsidRPr="00A740A6" w:rsidRDefault="00C84A33" w:rsidP="00E50A57">
            <w:pPr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</w:pPr>
            <w:r w:rsidRPr="00A740A6"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51AE85DF" w14:textId="77777777" w:rsidR="00C84A33" w:rsidRPr="00A740A6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</w:t>
            </w:r>
          </w:p>
        </w:tc>
      </w:tr>
      <w:tr w:rsidR="00C84A33" w:rsidRPr="00A740A6" w14:paraId="49C6BED0" w14:textId="77777777" w:rsidTr="00E50A57">
        <w:trPr>
          <w:trHeight w:hRule="exact" w:val="9561"/>
        </w:trPr>
        <w:tc>
          <w:tcPr>
            <w:tcW w:w="1418" w:type="dxa"/>
            <w:shd w:val="pct20" w:color="auto" w:fill="FFFFFF"/>
          </w:tcPr>
          <w:p w14:paraId="0F7F3008" w14:textId="77777777" w:rsidR="00C84A33" w:rsidRPr="00A740A6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740A6">
              <w:rPr>
                <w:rFonts w:ascii="Calibri" w:hAnsi="Calibri" w:cs="Calibri"/>
                <w:sz w:val="20"/>
                <w:szCs w:val="20"/>
                <w:lang w:val="pl-PL"/>
              </w:rPr>
              <w:t>Streszczenie:</w:t>
            </w:r>
            <w:r w:rsidRPr="00A740A6"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1D626957" w14:textId="77777777" w:rsidR="00C84A33" w:rsidRPr="00A740A6" w:rsidRDefault="00C84A33" w:rsidP="00E50A57">
            <w:pPr>
              <w:pStyle w:val="Bezodstpw"/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A740A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Cel: Wrodzone guzy jamy brzusznej są rzadką patologią, a częstość ich występowania wynosi od 2 do 14 noworodków na 100 000 żywych urodzeń. Większość z nich rozpoznaje się w trakcie rutynowego USG prenatalnego. Najczęstszymi guzami wrodzonymi są potworniaki; nowotwory nerek czy wątroby są rozpoznawane dużo rzadziej. Celem pracy było przedstawienie noworodka ze zmianą guzowatą jamy brzusznej o niejasnym charakterze. </w:t>
            </w:r>
          </w:p>
          <w:p w14:paraId="636FFE8D" w14:textId="77777777" w:rsidR="00C84A33" w:rsidRPr="00A740A6" w:rsidRDefault="00C84A33" w:rsidP="00E50A57">
            <w:pPr>
              <w:pStyle w:val="Bezodstpw"/>
              <w:jc w:val="both"/>
              <w:rPr>
                <w:sz w:val="20"/>
                <w:szCs w:val="20"/>
              </w:rPr>
            </w:pPr>
            <w:r w:rsidRPr="00A740A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Przypadek kliniczny: Noworodek płci żeńskiej, urodzony z CIIPII, siłami natury w 37 </w:t>
            </w:r>
            <w:proofErr w:type="spellStart"/>
            <w:r w:rsidRPr="00A740A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tc</w:t>
            </w:r>
            <w:proofErr w:type="spellEnd"/>
            <w:r w:rsidRPr="00A740A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. z masą ciała 2750 g. został przekazany do Kliniki Chirurgii, Urologii i Traumatologii Dziecięcej UM w Poznaniu </w:t>
            </w:r>
            <w:r w:rsidRPr="00A740A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  <w:t xml:space="preserve">z powodu podejrzenia pęknięcia wrodzonego guza wątroby. Stan dziecka bezpośrednio po porodzie oceniony był jako średni: dziewczynka urodziła się w umiarkowanej zamartwicy, miała wzdęty, twardy brzuch i zaznaczony wysiłek oddechowy. W USG uwidoczniono ogniskową zmianę w prawym płacie wątroby oraz znaczną ilość gęstego płynu w jamie otrzewnej. W RTG jamy brzusznej nie stwierdzono perforacji, obecna była wyłącznie pojedyncza bańka powietrza w żołądku. Po konsultacji chirurgicznej pacjenta skierowano do naszej Kliniki Chirurgii w Poznaniu celem dalszego leczenia. Ze względu na ucisk brzucha na klatkę piersiową i </w:t>
            </w:r>
            <w:proofErr w:type="spellStart"/>
            <w:r w:rsidRPr="00A740A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desaturacje</w:t>
            </w:r>
            <w:proofErr w:type="spellEnd"/>
            <w:r w:rsidRPr="00A740A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pacjenta </w:t>
            </w:r>
            <w:proofErr w:type="spellStart"/>
            <w:r w:rsidRPr="00A740A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zaintubowano</w:t>
            </w:r>
            <w:proofErr w:type="spellEnd"/>
            <w:r w:rsidRPr="00A740A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. Przy przyjęciu stan dziecka był ciężki, na pierwszy plan wysuwały się objawy ostrego brzucha. W USG oprócz dużej ilości płynu i podejrzenia zmiany ogniskowej wątroby w brzuchu dodatkowo widoczne były uciśnięte płynem jelita bez perystaltyki ze słabo </w:t>
            </w:r>
            <w:proofErr w:type="spellStart"/>
            <w:r w:rsidRPr="00A740A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rejestrowalnym</w:t>
            </w:r>
            <w:proofErr w:type="spellEnd"/>
            <w:r w:rsidRPr="00A740A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przepływem naczyniowym. Wykonano pilne KT jamy brzusznej, w którym na granicy segmentu V oraz VI wątroby opisano obszar nieulegający wzmocnieniu o orientacyjnych wymiarach 23 x 4 mm mogący odpowiadać szczelinie pęknięcia wątroby. Dodatkowo, przy powierzchni trzewnej segmentu VI wątroby obszar o wymiarach 33 x 34 x 34 mm ulegający niewielkiemu wzmocnieniu mogący odpowiadać częściowo zorganizowanemu krwiakowi, znaczną ilość płynu (prawdopodobnie krwi) w jamie otrzewnowej modelującego narządy w jamie brzusznej. Pacjenta zakwalifikowano do pilnej laparotomii. </w:t>
            </w:r>
            <w:r w:rsidRPr="00A740A6">
              <w:rPr>
                <w:sz w:val="20"/>
                <w:szCs w:val="20"/>
              </w:rPr>
              <w:t>Śródoperacyjnie stwierdzono pęknięcie wątroby, które zaopatrzono oraz skręt jelita (najpewniej wewnątrzpłodowy). Martwiczy fragment jelita cienkiego, który podklejony był pod prawym płatem wątroby resekowano oraz wyłoniono końcową przetokę na jelicie krętym.</w:t>
            </w:r>
          </w:p>
          <w:p w14:paraId="5A856028" w14:textId="77777777" w:rsidR="00C84A33" w:rsidRPr="00A740A6" w:rsidRDefault="00C84A33" w:rsidP="00E50A57">
            <w:pPr>
              <w:pStyle w:val="Bezodstpw"/>
              <w:jc w:val="both"/>
              <w:rPr>
                <w:sz w:val="20"/>
                <w:szCs w:val="20"/>
              </w:rPr>
            </w:pPr>
            <w:r w:rsidRPr="00A740A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Wnioski: Wady wrodzone jelita lokalizujące się blisko wątroby mogą w badaniach obrazowych przypominać wrodzone zmiany rozrostowe. Podstawą kwalifikacji do operacji </w:t>
            </w:r>
            <w:r w:rsidRPr="00A740A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  <w:t xml:space="preserve">w przypadku noworodka z objawami ostrego brzucha jest badanie podmiotowe </w:t>
            </w:r>
            <w:r w:rsidRPr="00A740A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  <w:t xml:space="preserve">i przedmiotowe, a nie badania obrazowe. </w:t>
            </w:r>
          </w:p>
        </w:tc>
      </w:tr>
    </w:tbl>
    <w:p w14:paraId="68931B0F" w14:textId="77777777" w:rsidR="00C84A33" w:rsidRPr="005C1A71" w:rsidRDefault="00C84A33" w:rsidP="00C84A33">
      <w:pPr>
        <w:rPr>
          <w:lang w:val="pl-PL"/>
        </w:rPr>
      </w:pPr>
    </w:p>
    <w:p w14:paraId="783D418A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271FA881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2687A301" w14:textId="77777777" w:rsidR="00C84A33" w:rsidRDefault="00C84A33" w:rsidP="00C84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4365"/>
        <w:gridCol w:w="1701"/>
        <w:gridCol w:w="2126"/>
      </w:tblGrid>
      <w:tr w:rsidR="00C84A33" w:rsidRPr="00486CAA" w14:paraId="2E6DB390" w14:textId="77777777" w:rsidTr="00E50A57">
        <w:trPr>
          <w:trHeight w:val="822"/>
        </w:trPr>
        <w:tc>
          <w:tcPr>
            <w:tcW w:w="1447" w:type="dxa"/>
            <w:shd w:val="clear" w:color="auto" w:fill="CCCCCC"/>
          </w:tcPr>
          <w:p w14:paraId="3C85152F" w14:textId="77777777" w:rsidR="00C84A33" w:rsidRPr="00486CAA" w:rsidRDefault="00C84A33" w:rsidP="00E50A57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Tytuł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588A9246" w14:textId="77777777" w:rsidR="00C84A33" w:rsidRPr="00486CAA" w:rsidRDefault="00C84A33" w:rsidP="00E50A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92" w:type="dxa"/>
            <w:gridSpan w:val="3"/>
          </w:tcPr>
          <w:p w14:paraId="571A7E57" w14:textId="77777777" w:rsidR="00C84A33" w:rsidRPr="00486CAA" w:rsidRDefault="00C84A33" w:rsidP="00E50A5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Mikrochirurgiczna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warikocelektomia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jako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alternatywa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laparoskopowego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zamknięcia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naczyń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jądrowych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C84A33" w:rsidRPr="00486CAA" w14:paraId="28E6E634" w14:textId="77777777" w:rsidTr="00E50A57">
        <w:trPr>
          <w:trHeight w:val="639"/>
        </w:trPr>
        <w:tc>
          <w:tcPr>
            <w:tcW w:w="1447" w:type="dxa"/>
            <w:shd w:val="clear" w:color="auto" w:fill="CCCCCC"/>
          </w:tcPr>
          <w:p w14:paraId="418E5AA1" w14:textId="77777777" w:rsidR="00C84A33" w:rsidRPr="00486CAA" w:rsidRDefault="00C84A33" w:rsidP="00E50A57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Autorzy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8192" w:type="dxa"/>
            <w:gridSpan w:val="3"/>
          </w:tcPr>
          <w:p w14:paraId="0D3798A0" w14:textId="77777777" w:rsidR="00C84A33" w:rsidRPr="00486CAA" w:rsidRDefault="00C84A33" w:rsidP="00E50A5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Eva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Semaškevič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Bartosz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Gawliński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Iryna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Kolosova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, Piotr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Taborowski</w:t>
            </w:r>
            <w:proofErr w:type="spellEnd"/>
          </w:p>
        </w:tc>
      </w:tr>
      <w:tr w:rsidR="00C84A33" w:rsidRPr="00486CAA" w14:paraId="107D7261" w14:textId="77777777" w:rsidTr="00E50A57">
        <w:trPr>
          <w:trHeight w:val="706"/>
        </w:trPr>
        <w:tc>
          <w:tcPr>
            <w:tcW w:w="1447" w:type="dxa"/>
            <w:shd w:val="clear" w:color="auto" w:fill="CCCCCC"/>
          </w:tcPr>
          <w:p w14:paraId="3D1A1595" w14:textId="77777777" w:rsidR="00C84A33" w:rsidRPr="00486CAA" w:rsidRDefault="00C84A33" w:rsidP="00E50A57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Ośrodek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2CBAD3EA" w14:textId="77777777" w:rsidR="00C84A33" w:rsidRPr="00486CAA" w:rsidRDefault="00C84A33" w:rsidP="00E50A5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86CAA">
              <w:rPr>
                <w:rFonts w:ascii="Calibri" w:eastAsia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8192" w:type="dxa"/>
            <w:gridSpan w:val="3"/>
          </w:tcPr>
          <w:p w14:paraId="1660893C" w14:textId="77777777" w:rsidR="00C84A33" w:rsidRPr="00486CAA" w:rsidRDefault="00C84A33" w:rsidP="00E50A57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Szpital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Miejski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im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. Jana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Pawła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II w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Elblągu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Oddział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Chirurgii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Dziecięcej</w:t>
            </w:r>
            <w:proofErr w:type="spellEnd"/>
          </w:p>
        </w:tc>
      </w:tr>
      <w:tr w:rsidR="00C84A33" w:rsidRPr="00486CAA" w14:paraId="4E3488F6" w14:textId="77777777" w:rsidTr="00E50A57">
        <w:trPr>
          <w:trHeight w:val="1389"/>
        </w:trPr>
        <w:tc>
          <w:tcPr>
            <w:tcW w:w="1447" w:type="dxa"/>
            <w:shd w:val="clear" w:color="auto" w:fill="CCCCCC"/>
          </w:tcPr>
          <w:p w14:paraId="3799B3D4" w14:textId="77777777" w:rsidR="00C84A33" w:rsidRPr="00486CAA" w:rsidRDefault="00C84A33" w:rsidP="00E50A5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XXI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Sympozjum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Interdyscyplinarne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E949586" w14:textId="77777777" w:rsidR="00C84A33" w:rsidRPr="00486CAA" w:rsidRDefault="00C84A33" w:rsidP="00E50A5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6 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grudnia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2024</w:t>
            </w:r>
          </w:p>
        </w:tc>
        <w:tc>
          <w:tcPr>
            <w:tcW w:w="4365" w:type="dxa"/>
          </w:tcPr>
          <w:p w14:paraId="4538F06C" w14:textId="77777777" w:rsidR="00C84A33" w:rsidRPr="00486CAA" w:rsidRDefault="00C84A33" w:rsidP="00E50A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0C0C0"/>
          </w:tcPr>
          <w:p w14:paraId="346C48A9" w14:textId="77777777" w:rsidR="00C84A33" w:rsidRPr="00486CAA" w:rsidRDefault="00C84A33" w:rsidP="00E50A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486CAA">
              <w:rPr>
                <w:rFonts w:ascii="Calibri" w:eastAsia="Calibri" w:hAnsi="Calibri" w:cs="Calibri"/>
                <w:color w:val="000000"/>
                <w:sz w:val="20"/>
                <w:szCs w:val="20"/>
                <w:highlight w:val="lightGray"/>
              </w:rPr>
              <w:t xml:space="preserve">XI </w:t>
            </w:r>
            <w:proofErr w:type="spellStart"/>
            <w:r w:rsidRPr="00486CAA">
              <w:rPr>
                <w:rFonts w:ascii="Calibri" w:eastAsia="Calibri" w:hAnsi="Calibri" w:cs="Calibri"/>
                <w:color w:val="000000"/>
                <w:sz w:val="20"/>
                <w:szCs w:val="20"/>
                <w:highlight w:val="lightGray"/>
              </w:rPr>
              <w:t>Konferencja</w:t>
            </w:r>
            <w:proofErr w:type="spellEnd"/>
            <w:r w:rsidRPr="00486CAA">
              <w:rPr>
                <w:rFonts w:ascii="Calibri" w:eastAsia="Calibri" w:hAnsi="Calibri" w:cs="Calibri"/>
                <w:color w:val="000000"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color w:val="000000"/>
                <w:sz w:val="20"/>
                <w:szCs w:val="20"/>
                <w:highlight w:val="lightGray"/>
              </w:rPr>
              <w:t>Naukowo-Szkoleniowe</w:t>
            </w:r>
            <w:proofErr w:type="spellEnd"/>
            <w:r w:rsidRPr="00486CAA">
              <w:rPr>
                <w:rFonts w:ascii="Calibri" w:eastAsia="Calibri" w:hAnsi="Calibri" w:cs="Calibri"/>
                <w:color w:val="000000"/>
                <w:sz w:val="20"/>
                <w:szCs w:val="20"/>
                <w:highlight w:val="lightGray"/>
              </w:rPr>
              <w:t xml:space="preserve"> </w:t>
            </w:r>
          </w:p>
          <w:p w14:paraId="392C44AD" w14:textId="77777777" w:rsidR="00C84A33" w:rsidRPr="00486CAA" w:rsidRDefault="00C84A33" w:rsidP="00E50A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486CAA">
              <w:rPr>
                <w:rFonts w:ascii="Calibri" w:eastAsia="Calibri" w:hAnsi="Calibri" w:cs="Calibri"/>
                <w:color w:val="000000"/>
                <w:sz w:val="20"/>
                <w:szCs w:val="20"/>
                <w:highlight w:val="lightGray"/>
              </w:rPr>
              <w:t xml:space="preserve">7 </w:t>
            </w:r>
            <w:proofErr w:type="spellStart"/>
            <w:r w:rsidRPr="00486CAA">
              <w:rPr>
                <w:rFonts w:ascii="Calibri" w:eastAsia="Calibri" w:hAnsi="Calibri" w:cs="Calibri"/>
                <w:color w:val="000000"/>
                <w:sz w:val="20"/>
                <w:szCs w:val="20"/>
                <w:highlight w:val="lightGray"/>
              </w:rPr>
              <w:t>grudnia</w:t>
            </w:r>
            <w:proofErr w:type="spellEnd"/>
            <w:r w:rsidRPr="00486CAA">
              <w:rPr>
                <w:rFonts w:ascii="Calibri" w:eastAsia="Calibri" w:hAnsi="Calibri" w:cs="Calibri"/>
                <w:color w:val="000000"/>
                <w:sz w:val="20"/>
                <w:szCs w:val="20"/>
                <w:highlight w:val="lightGray"/>
              </w:rPr>
              <w:t xml:space="preserve"> 2024</w:t>
            </w:r>
          </w:p>
          <w:p w14:paraId="72536D0C" w14:textId="77777777" w:rsidR="00C84A33" w:rsidRPr="00486CAA" w:rsidRDefault="00C84A33" w:rsidP="00E50A57">
            <w:pPr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</w:pP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>doniesienie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>ustne</w:t>
            </w:r>
            <w:proofErr w:type="spellEnd"/>
          </w:p>
        </w:tc>
        <w:tc>
          <w:tcPr>
            <w:tcW w:w="2126" w:type="dxa"/>
          </w:tcPr>
          <w:p w14:paraId="058B5B27" w14:textId="77777777" w:rsidR="00C84A33" w:rsidRPr="00486CAA" w:rsidRDefault="00C84A33" w:rsidP="00E50A5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86CAA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C84A33" w:rsidRPr="00486CAA" w14:paraId="2CCEEE7E" w14:textId="77777777" w:rsidTr="00E50A57">
        <w:trPr>
          <w:trHeight w:val="7818"/>
        </w:trPr>
        <w:tc>
          <w:tcPr>
            <w:tcW w:w="1447" w:type="dxa"/>
            <w:shd w:val="clear" w:color="auto" w:fill="CCCCCC"/>
          </w:tcPr>
          <w:p w14:paraId="50771C22" w14:textId="77777777" w:rsidR="00C84A33" w:rsidRPr="00486CAA" w:rsidRDefault="00C84A33" w:rsidP="00E50A57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Streszczenie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486CAA"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</w:tc>
        <w:tc>
          <w:tcPr>
            <w:tcW w:w="8192" w:type="dxa"/>
            <w:gridSpan w:val="3"/>
          </w:tcPr>
          <w:p w14:paraId="047F2B3B" w14:textId="77777777" w:rsidR="00C84A33" w:rsidRPr="00486CAA" w:rsidRDefault="00C84A33" w:rsidP="00E50A5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DAA38F9" w14:textId="77777777" w:rsidR="00C84A33" w:rsidRPr="00486CAA" w:rsidRDefault="00C84A33" w:rsidP="00E50A5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Wstęp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Żylaki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powrózka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nasiennego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są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powszechną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jednostką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chorobową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młodocianych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jej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częstość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wynosi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ok 10-20%.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Obecnie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leczeniem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wyboru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jest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laparoskopowe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wysokie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zamknięcie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naczyń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jądrowych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Poddaliśmy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ocenie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mikrochirurgiczną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warikocelektomię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jako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metodę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niskim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odsetkiem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powikłań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6586753" w14:textId="77777777" w:rsidR="00C84A33" w:rsidRPr="00486CAA" w:rsidRDefault="00C84A33" w:rsidP="00E50A5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809DD7" w14:textId="77777777" w:rsidR="00C84A33" w:rsidRPr="00486CAA" w:rsidRDefault="00C84A33" w:rsidP="00E50A5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Celem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niniejszej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pracy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jest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ocena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wyników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leczenia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żylaków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powrózka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nasiennego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metodą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mikrochirurgiczną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dostępu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podpachwinowego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69340DE8" w14:textId="77777777" w:rsidR="00C84A33" w:rsidRPr="00486CAA" w:rsidRDefault="00C84A33" w:rsidP="00E50A5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065E18" w14:textId="77777777" w:rsidR="00C84A33" w:rsidRPr="00486CAA" w:rsidRDefault="00C84A33" w:rsidP="00E50A5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Materiał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metody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przeprowadziliśmy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retrospektywną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analizę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danych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13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pacjentów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wieku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12-17 (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średnia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wieku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14,4) z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żylakami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powrózka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nasiennego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III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stopnia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wg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skali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Dubin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Amelar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okresie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2-letnim (2022-2023)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operowanych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metodą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mikrochirurgiczną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85465E8" w14:textId="77777777" w:rsidR="00C84A33" w:rsidRPr="00486CAA" w:rsidRDefault="00C84A33" w:rsidP="00E50A5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D64F0B" w14:textId="77777777" w:rsidR="00C84A33" w:rsidRPr="00486CAA" w:rsidRDefault="00C84A33" w:rsidP="00E50A5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A34A11" w14:textId="77777777" w:rsidR="00C84A33" w:rsidRPr="00486CAA" w:rsidRDefault="00C84A33" w:rsidP="00E50A5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Wyniki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Poddano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ocenie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odsetek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powikłań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badanej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grupy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pacjentów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Stwierdzono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częstość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występowania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pooperacyjnego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wodniaka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jądra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poziomie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0% (0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pacjentów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),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nawrót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żylaków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powrózka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nasiennego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poziomie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0% (0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pacjentów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),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zanik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jądra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poziomie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0% ( 0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pacjentów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oraz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utrzymujące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się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dolegliwości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bólowe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podczas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wysiłku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poziomie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7% (1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pacjent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  <w:p w14:paraId="135D2553" w14:textId="77777777" w:rsidR="00C84A33" w:rsidRPr="00486CAA" w:rsidRDefault="00C84A33" w:rsidP="00E50A5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6DAF00" w14:textId="77777777" w:rsidR="00C84A33" w:rsidRPr="00486CAA" w:rsidRDefault="00C84A33" w:rsidP="00E50A5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Wnioski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45DF9424" w14:textId="77777777" w:rsidR="00C84A33" w:rsidRPr="00486CAA" w:rsidRDefault="00C84A33" w:rsidP="00E50A5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1. 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Stwierdzono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że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metoda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mikrochirurgiczna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ma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niski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odsetek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powikłań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pooperacyjnych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2D42F1FC" w14:textId="77777777" w:rsidR="00C84A33" w:rsidRPr="00486CAA" w:rsidRDefault="00C84A33" w:rsidP="00E50A5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w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tym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tworzenia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się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wodniaka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jądra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nawrotu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żylaków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powrózka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nasiennego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C4A2044" w14:textId="77777777" w:rsidR="00C84A33" w:rsidRPr="00486CAA" w:rsidRDefault="00C84A33" w:rsidP="00E50A5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2.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Metoda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operacyjna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pozwala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zaoszczędzenie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tętnicy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jądrowej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oraz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naczyń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limfatycznych</w:t>
            </w:r>
            <w:proofErr w:type="spellEnd"/>
          </w:p>
          <w:p w14:paraId="42C4DB19" w14:textId="77777777" w:rsidR="00C84A33" w:rsidRPr="00486CAA" w:rsidRDefault="00C84A33" w:rsidP="00E50A5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3.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Zaletą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metody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mikrochirurgicznej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również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wydaje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się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być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brak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konieczności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dostępu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przezotrzewnowego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dobry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dostęp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struktur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powrózka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nasiennego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oraz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niewielka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 rana </w:t>
            </w:r>
            <w:proofErr w:type="spellStart"/>
            <w:r w:rsidRPr="00486CAA">
              <w:rPr>
                <w:rFonts w:ascii="Calibri" w:eastAsia="Calibri" w:hAnsi="Calibri" w:cs="Calibri"/>
                <w:sz w:val="20"/>
                <w:szCs w:val="20"/>
              </w:rPr>
              <w:t>pooperacyjna</w:t>
            </w:r>
            <w:proofErr w:type="spellEnd"/>
            <w:r w:rsidRPr="00486CAA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14:paraId="15161471" w14:textId="77777777" w:rsidR="00C84A33" w:rsidRPr="00486CAA" w:rsidRDefault="00C84A33" w:rsidP="00E50A5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B1AFC09" w14:textId="77777777" w:rsidR="00C84A33" w:rsidRPr="00486CAA" w:rsidRDefault="00C84A33" w:rsidP="00E50A57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43959A" w14:textId="77777777" w:rsidR="00C84A33" w:rsidRPr="00486CAA" w:rsidRDefault="00C84A33" w:rsidP="00E50A57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</w:tbl>
    <w:p w14:paraId="19A01E6F" w14:textId="77777777" w:rsidR="00C84A33" w:rsidRDefault="00C84A33" w:rsidP="00C84A33">
      <w:pPr>
        <w:rPr>
          <w:rFonts w:ascii="Calibri" w:eastAsia="Calibri" w:hAnsi="Calibri" w:cs="Calibri"/>
          <w:sz w:val="20"/>
          <w:szCs w:val="20"/>
        </w:rPr>
      </w:pPr>
    </w:p>
    <w:p w14:paraId="04901523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7DB83F04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205679F6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30918F6F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1F440D7A" w14:textId="77777777" w:rsidR="00C84A33" w:rsidRDefault="00C84A33" w:rsidP="00C84A33">
      <w:pPr>
        <w:pStyle w:val="Nagwek1"/>
      </w:pPr>
      <w:r>
        <w:rPr>
          <w:rStyle w:val="BrakA"/>
        </w:rPr>
        <w:lastRenderedPageBreak/>
        <w:t>to</w:t>
      </w:r>
    </w:p>
    <w:tbl>
      <w:tblPr>
        <w:tblStyle w:val="TableNormal"/>
        <w:tblW w:w="8300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14"/>
        <w:gridCol w:w="2871"/>
        <w:gridCol w:w="1872"/>
        <w:gridCol w:w="1743"/>
      </w:tblGrid>
      <w:tr w:rsidR="00C84A33" w:rsidRPr="00FB5C9E" w14:paraId="21091764" w14:textId="77777777" w:rsidTr="00E50A57">
        <w:trPr>
          <w:trHeight w:hRule="exact" w:val="139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5B2C7" w14:textId="77777777" w:rsidR="00C84A33" w:rsidRPr="00FB5C9E" w:rsidRDefault="00C84A33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Tytuł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82B47" w14:textId="77777777" w:rsidR="00C84A33" w:rsidRPr="00FB5C9E" w:rsidRDefault="00C84A33" w:rsidP="00E50A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u w:color="FF0000"/>
              </w:rPr>
            </w:pPr>
            <w:proofErr w:type="spellStart"/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>Wykorzystanie</w:t>
            </w:r>
            <w:proofErr w:type="spellEnd"/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>termoablacji</w:t>
            </w:r>
            <w:proofErr w:type="spellEnd"/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>mikrofalowej</w:t>
            </w:r>
            <w:proofErr w:type="spellEnd"/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 xml:space="preserve"> w </w:t>
            </w:r>
            <w:proofErr w:type="spellStart"/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>leczeniu</w:t>
            </w:r>
            <w:proofErr w:type="spellEnd"/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>guz</w:t>
            </w:r>
            <w:proofErr w:type="spellEnd"/>
            <w:r w:rsidRPr="00FB5C9E">
              <w:rPr>
                <w:rFonts w:ascii="Calibri" w:hAnsi="Calibri" w:cs="Calibri"/>
                <w:sz w:val="20"/>
                <w:szCs w:val="20"/>
                <w:u w:color="FF0000"/>
                <w:lang w:val="es-ES_tradnl"/>
              </w:rPr>
              <w:t>ó</w:t>
            </w:r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 xml:space="preserve">w </w:t>
            </w:r>
            <w:proofErr w:type="spellStart"/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>wątroby</w:t>
            </w:r>
            <w:proofErr w:type="spellEnd"/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 xml:space="preserve"> u </w:t>
            </w:r>
            <w:proofErr w:type="spellStart"/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>dzieci</w:t>
            </w:r>
            <w:proofErr w:type="spellEnd"/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 xml:space="preserve"> – </w:t>
            </w:r>
            <w:proofErr w:type="spellStart"/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>prezentacja</w:t>
            </w:r>
            <w:proofErr w:type="spellEnd"/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 xml:space="preserve"> 2 </w:t>
            </w:r>
            <w:proofErr w:type="spellStart"/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>przypadk</w:t>
            </w:r>
            <w:proofErr w:type="spellEnd"/>
            <w:r w:rsidRPr="00FB5C9E">
              <w:rPr>
                <w:rFonts w:ascii="Calibri" w:hAnsi="Calibri" w:cs="Calibri"/>
                <w:sz w:val="20"/>
                <w:szCs w:val="20"/>
                <w:u w:color="FF0000"/>
                <w:lang w:val="es-ES_tradnl"/>
              </w:rPr>
              <w:t>ó</w:t>
            </w:r>
            <w:r w:rsidRPr="00FB5C9E">
              <w:rPr>
                <w:rFonts w:ascii="Calibri" w:hAnsi="Calibri" w:cs="Calibri"/>
                <w:sz w:val="20"/>
                <w:szCs w:val="20"/>
                <w:u w:color="FF0000"/>
              </w:rPr>
              <w:t>w</w:t>
            </w:r>
          </w:p>
          <w:p w14:paraId="3650F200" w14:textId="77777777" w:rsidR="00C84A33" w:rsidRPr="00FB5C9E" w:rsidRDefault="00C84A33" w:rsidP="00E50A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160" w:line="259" w:lineRule="auto"/>
              <w:rPr>
                <w:rStyle w:val="Brak"/>
                <w:rFonts w:ascii="Calibri" w:eastAsia="Calibri" w:hAnsi="Calibri" w:cs="Calibri"/>
                <w:sz w:val="20"/>
                <w:szCs w:val="20"/>
              </w:rPr>
            </w:pPr>
          </w:p>
          <w:p w14:paraId="5A60AE1C" w14:textId="77777777" w:rsidR="00C84A33" w:rsidRPr="00FB5C9E" w:rsidRDefault="00C84A33" w:rsidP="00E50A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160" w:line="259" w:lineRule="auto"/>
              <w:rPr>
                <w:rStyle w:val="Brak"/>
                <w:rFonts w:ascii="Calibri" w:eastAsia="Calibri" w:hAnsi="Calibri" w:cs="Calibri"/>
                <w:sz w:val="20"/>
                <w:szCs w:val="20"/>
              </w:rPr>
            </w:pPr>
          </w:p>
          <w:p w14:paraId="4A044648" w14:textId="77777777" w:rsidR="00C84A33" w:rsidRPr="00FB5C9E" w:rsidRDefault="00C84A33" w:rsidP="00E50A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4A33" w:rsidRPr="00FB5C9E" w14:paraId="61541D3B" w14:textId="77777777" w:rsidTr="00E50A57">
        <w:trPr>
          <w:trHeight w:hRule="exact" w:val="5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32BFF" w14:textId="77777777" w:rsidR="00C84A33" w:rsidRPr="00FB5C9E" w:rsidRDefault="00C84A33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Autorzy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BB937" w14:textId="77777777" w:rsidR="00C84A33" w:rsidRPr="00FB5C9E" w:rsidRDefault="00C84A33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M.Skwarek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M.Panek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D5C41" w14:textId="77777777" w:rsidR="00C84A33" w:rsidRPr="00FB5C9E" w:rsidRDefault="00C84A33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A.Kowalski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90B52" w14:textId="77777777" w:rsidR="00C84A33" w:rsidRPr="00FB5C9E" w:rsidRDefault="00C84A33" w:rsidP="00E50A57">
            <w:pPr>
              <w:rPr>
                <w:rFonts w:ascii="Calibri" w:hAnsi="Calibri" w:cs="Calibri"/>
                <w:sz w:val="20"/>
                <w:szCs w:val="20"/>
              </w:rPr>
            </w:pPr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P.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Kaliciński</w:t>
            </w:r>
            <w:proofErr w:type="spellEnd"/>
          </w:p>
        </w:tc>
      </w:tr>
      <w:tr w:rsidR="00C84A33" w:rsidRPr="00FB5C9E" w14:paraId="3D9FD8AF" w14:textId="77777777" w:rsidTr="00E50A57">
        <w:trPr>
          <w:trHeight w:hRule="exact" w:val="56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25578" w14:textId="77777777" w:rsidR="00C84A33" w:rsidRPr="00FB5C9E" w:rsidRDefault="00C84A33" w:rsidP="00E50A57">
            <w:pPr>
              <w:rPr>
                <w:rStyle w:val="Brak"/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Ośrodek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:</w:t>
            </w:r>
          </w:p>
          <w:p w14:paraId="55C5D228" w14:textId="77777777" w:rsidR="00C84A33" w:rsidRPr="00FB5C9E" w:rsidRDefault="00C84A33" w:rsidP="00E50A57">
            <w:pPr>
              <w:rPr>
                <w:rFonts w:ascii="Calibri" w:hAnsi="Calibri" w:cs="Calibri"/>
                <w:sz w:val="20"/>
                <w:szCs w:val="20"/>
              </w:rPr>
            </w:pPr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6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C2239" w14:textId="77777777" w:rsidR="00C84A33" w:rsidRPr="00FB5C9E" w:rsidRDefault="00C84A33" w:rsidP="00E50A57">
            <w:pPr>
              <w:rPr>
                <w:rStyle w:val="Brak"/>
                <w:rFonts w:ascii="Calibri" w:eastAsia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Klinika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Chirurgii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Dziecięcej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Transplantacji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Narząd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B5C9E">
              <w:rPr>
                <w:rStyle w:val="Brak"/>
                <w:rFonts w:ascii="Calibri" w:hAnsi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</w:t>
            </w:r>
          </w:p>
          <w:p w14:paraId="4F59A871" w14:textId="77777777" w:rsidR="00C84A33" w:rsidRPr="00FB5C9E" w:rsidRDefault="00C84A33" w:rsidP="00E50A57">
            <w:pPr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FB5C9E">
                <w:rPr>
                  <w:rStyle w:val="Hyperlink1"/>
                  <w:sz w:val="20"/>
                  <w:szCs w:val="20"/>
                </w:rPr>
                <w:t>m.skwarek@ipczd.pl</w:t>
              </w:r>
            </w:hyperlink>
          </w:p>
        </w:tc>
      </w:tr>
      <w:tr w:rsidR="00C84A33" w:rsidRPr="00FB5C9E" w14:paraId="1791B94D" w14:textId="77777777" w:rsidTr="00E50A57">
        <w:trPr>
          <w:trHeight w:hRule="exact" w:val="85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87F0D" w14:textId="77777777" w:rsidR="00C84A33" w:rsidRPr="00FB5C9E" w:rsidRDefault="00C84A33" w:rsidP="00E50A57">
            <w:pPr>
              <w:rPr>
                <w:rStyle w:val="Brak"/>
                <w:rFonts w:ascii="Calibri" w:eastAsia="Calibri" w:hAnsi="Calibri" w:cs="Calibri"/>
                <w:sz w:val="20"/>
                <w:szCs w:val="20"/>
              </w:rPr>
            </w:pPr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XXI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Sympozjum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Interdyscyplinarne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03EE885" w14:textId="77777777" w:rsidR="00C84A33" w:rsidRPr="00FB5C9E" w:rsidRDefault="00C84A33" w:rsidP="00E50A57">
            <w:pPr>
              <w:rPr>
                <w:rStyle w:val="Brak"/>
                <w:rFonts w:ascii="Calibri" w:eastAsia="Calibri" w:hAnsi="Calibri" w:cs="Calibri"/>
                <w:sz w:val="20"/>
                <w:szCs w:val="20"/>
              </w:rPr>
            </w:pPr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6 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grudnia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2024</w:t>
            </w:r>
          </w:p>
          <w:p w14:paraId="186B0525" w14:textId="77777777" w:rsidR="00C84A33" w:rsidRPr="00FB5C9E" w:rsidRDefault="00C84A33" w:rsidP="00E50A57">
            <w:pPr>
              <w:tabs>
                <w:tab w:val="left" w:pos="1365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doniesienie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ustne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11336" w14:textId="77777777" w:rsidR="00C84A33" w:rsidRPr="00FB5C9E" w:rsidRDefault="00C84A33" w:rsidP="00E50A57">
            <w:pPr>
              <w:jc w:val="center"/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03AF65B" w14:textId="77777777" w:rsidR="00C84A33" w:rsidRPr="00FB5C9E" w:rsidRDefault="00C84A33" w:rsidP="00E50A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5C9E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9BE93" w14:textId="77777777" w:rsidR="00C84A33" w:rsidRPr="00FB5C9E" w:rsidRDefault="00C84A33" w:rsidP="00E50A57">
            <w:pPr>
              <w:pStyle w:val="Nagwek2"/>
              <w:jc w:val="left"/>
              <w:rPr>
                <w:rStyle w:val="Brak"/>
                <w:rFonts w:ascii="Calibri" w:eastAsia="Calibri" w:hAnsi="Calibri" w:cs="Calibri"/>
                <w:b w:val="0"/>
                <w:bCs w:val="0"/>
                <w:sz w:val="20"/>
                <w:szCs w:val="20"/>
                <w:shd w:val="clear" w:color="auto" w:fill="C0C0C0"/>
              </w:rPr>
            </w:pPr>
            <w:r w:rsidRPr="00FB5C9E">
              <w:rPr>
                <w:rStyle w:val="Brak"/>
                <w:rFonts w:ascii="Calibri" w:hAnsi="Calibri" w:cs="Calibri"/>
                <w:b w:val="0"/>
                <w:bCs w:val="0"/>
                <w:sz w:val="20"/>
                <w:szCs w:val="20"/>
                <w:shd w:val="clear" w:color="auto" w:fill="C0C0C0"/>
              </w:rPr>
              <w:t xml:space="preserve">XI Konferencja Naukowo-Szkoleniowe </w:t>
            </w:r>
          </w:p>
          <w:p w14:paraId="2DE0EC1D" w14:textId="77777777" w:rsidR="00C84A33" w:rsidRPr="00FB5C9E" w:rsidRDefault="00C84A33" w:rsidP="00E50A57">
            <w:pPr>
              <w:pStyle w:val="Nagwek2"/>
              <w:jc w:val="left"/>
              <w:rPr>
                <w:rStyle w:val="Brak"/>
                <w:rFonts w:ascii="Calibri" w:eastAsia="Calibri" w:hAnsi="Calibri" w:cs="Calibri"/>
                <w:b w:val="0"/>
                <w:bCs w:val="0"/>
                <w:sz w:val="20"/>
                <w:szCs w:val="20"/>
                <w:shd w:val="clear" w:color="auto" w:fill="C0C0C0"/>
              </w:rPr>
            </w:pPr>
            <w:r w:rsidRPr="00FB5C9E">
              <w:rPr>
                <w:rStyle w:val="Brak"/>
                <w:rFonts w:ascii="Calibri" w:hAnsi="Calibri" w:cs="Calibri"/>
                <w:b w:val="0"/>
                <w:bCs w:val="0"/>
                <w:sz w:val="20"/>
                <w:szCs w:val="20"/>
                <w:shd w:val="clear" w:color="auto" w:fill="C0C0C0"/>
              </w:rPr>
              <w:t>7 grudnia 2024</w:t>
            </w:r>
          </w:p>
          <w:p w14:paraId="28CEDECA" w14:textId="77777777" w:rsidR="00C84A33" w:rsidRPr="00FB5C9E" w:rsidRDefault="00C84A33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shd w:val="clear" w:color="auto" w:fill="C0C0C0"/>
              </w:rPr>
              <w:t>doniesienie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shd w:val="clear" w:color="auto" w:fill="C0C0C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shd w:val="clear" w:color="auto" w:fill="C0C0C0"/>
              </w:rPr>
              <w:t>ustne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5C573" w14:textId="77777777" w:rsidR="00C84A33" w:rsidRPr="00FB5C9E" w:rsidRDefault="00C84A33" w:rsidP="00E50A57">
            <w:pPr>
              <w:rPr>
                <w:rStyle w:val="Brak"/>
                <w:rFonts w:ascii="Calibri" w:hAnsi="Calibri" w:cs="Calibri"/>
                <w:sz w:val="20"/>
                <w:szCs w:val="20"/>
              </w:rPr>
            </w:pPr>
          </w:p>
          <w:p w14:paraId="46B48CFE" w14:textId="77777777" w:rsidR="00C84A33" w:rsidRPr="00FB5C9E" w:rsidRDefault="00C84A33" w:rsidP="00E50A57">
            <w:pPr>
              <w:rPr>
                <w:rFonts w:ascii="Calibri" w:hAnsi="Calibri" w:cs="Calibri"/>
                <w:sz w:val="20"/>
                <w:szCs w:val="20"/>
              </w:rPr>
            </w:pPr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         X</w:t>
            </w:r>
          </w:p>
        </w:tc>
      </w:tr>
      <w:tr w:rsidR="00C84A33" w:rsidRPr="00FB5C9E" w14:paraId="6105E0FE" w14:textId="77777777" w:rsidTr="00E50A57">
        <w:trPr>
          <w:trHeight w:hRule="exact" w:val="890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E8E52" w14:textId="77777777" w:rsidR="00C84A33" w:rsidRPr="00FB5C9E" w:rsidRDefault="00C84A33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Streszczenie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:</w:t>
            </w:r>
            <w:r w:rsidRPr="00FB5C9E">
              <w:rPr>
                <w:rStyle w:val="Brak"/>
                <w:rFonts w:ascii="Calibri" w:eastAsia="Calibri" w:hAnsi="Calibri" w:cs="Calibri"/>
                <w:sz w:val="20"/>
                <w:szCs w:val="20"/>
              </w:rPr>
              <w:br/>
            </w:r>
          </w:p>
        </w:tc>
        <w:tc>
          <w:tcPr>
            <w:tcW w:w="6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6C757" w14:textId="77777777" w:rsidR="00C84A33" w:rsidRPr="00FB5C9E" w:rsidRDefault="00C84A33" w:rsidP="00E50A57">
            <w:pPr>
              <w:rPr>
                <w:rStyle w:val="Brak"/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Wstę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lang w:val="de-DE"/>
              </w:rPr>
              <w:t xml:space="preserve">p: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Termoablacja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mikrofalowa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polega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na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wykorzystaniu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mikrofalowej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energii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elektromagnetycznej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leczeniu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guz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w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narząd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w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miąższowych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, w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tym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wątroby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Najczęściej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wykorzystywana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jest w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leczeniu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guz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w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pierwotnych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lub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przerzutowych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niekorzystnej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lokalizacji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20BA2F7F" w14:textId="77777777" w:rsidR="00C84A33" w:rsidRPr="00FB5C9E" w:rsidRDefault="00C84A33" w:rsidP="00E50A57">
            <w:pPr>
              <w:rPr>
                <w:rStyle w:val="Brak"/>
                <w:rFonts w:ascii="Calibri" w:eastAsia="Calibri" w:hAnsi="Calibri" w:cs="Calibri"/>
                <w:sz w:val="20"/>
                <w:szCs w:val="20"/>
              </w:rPr>
            </w:pPr>
          </w:p>
          <w:p w14:paraId="21BCDB47" w14:textId="77777777" w:rsidR="00C84A33" w:rsidRPr="00FB5C9E" w:rsidRDefault="00C84A33" w:rsidP="00E50A57">
            <w:pPr>
              <w:rPr>
                <w:rStyle w:val="Brak"/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Cel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pracy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Celem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pracy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jest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prezentacja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dw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ch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przypadk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w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wykorzystania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termoablacji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mikrofalowej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dzieci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dużymi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guzami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wątroby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charakterze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FNH. </w:t>
            </w:r>
          </w:p>
          <w:p w14:paraId="6534F8D9" w14:textId="77777777" w:rsidR="00C84A33" w:rsidRPr="00FB5C9E" w:rsidRDefault="00C84A33" w:rsidP="00E50A57">
            <w:pPr>
              <w:rPr>
                <w:rStyle w:val="Brak"/>
                <w:rFonts w:ascii="Calibri" w:eastAsia="Calibri" w:hAnsi="Calibri" w:cs="Calibri"/>
                <w:sz w:val="20"/>
                <w:szCs w:val="20"/>
              </w:rPr>
            </w:pPr>
          </w:p>
          <w:p w14:paraId="3C3B96AA" w14:textId="77777777" w:rsidR="00C84A33" w:rsidRPr="00FB5C9E" w:rsidRDefault="00C84A33" w:rsidP="00E50A57">
            <w:pPr>
              <w:rPr>
                <w:rStyle w:val="Brak"/>
                <w:rFonts w:ascii="Calibri" w:eastAsia="Calibri" w:hAnsi="Calibri" w:cs="Calibri"/>
                <w:sz w:val="20"/>
                <w:szCs w:val="20"/>
              </w:rPr>
            </w:pPr>
            <w:r w:rsidRPr="00FB5C9E">
              <w:rPr>
                <w:rStyle w:val="Brak"/>
                <w:rFonts w:ascii="Calibri" w:hAnsi="Calibri" w:cs="Calibri"/>
                <w:sz w:val="20"/>
                <w:szCs w:val="20"/>
                <w:lang w:val="it-IT"/>
              </w:rPr>
              <w:t>Materia</w:t>
            </w:r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ł </w:t>
            </w:r>
            <w:r w:rsidRPr="00FB5C9E">
              <w:rPr>
                <w:rStyle w:val="Brak"/>
                <w:rFonts w:ascii="Calibri" w:hAnsi="Calibri" w:cs="Calibri"/>
                <w:sz w:val="20"/>
                <w:szCs w:val="20"/>
                <w:lang w:val="es-ES_tradnl"/>
              </w:rPr>
              <w:t xml:space="preserve">i metoda: </w:t>
            </w:r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W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roku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2024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wykonaliśmy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mikrofalową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termoblację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r w:rsidRPr="00FB5C9E">
              <w:rPr>
                <w:rStyle w:val="Brak"/>
                <w:rFonts w:ascii="Calibri" w:hAnsi="Calibri" w:cs="Calibri"/>
                <w:sz w:val="20"/>
                <w:szCs w:val="20"/>
                <w:lang w:val="it-IT"/>
              </w:rPr>
              <w:t>guz</w:t>
            </w:r>
            <w:r w:rsidRPr="00FB5C9E">
              <w:rPr>
                <w:rStyle w:val="Brak"/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w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wątroby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u 2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pacjent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w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wieku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17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13 lat. W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obu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przypadkach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guzy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zlokalizowane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były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prawym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płacie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wątroby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. U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pacjent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w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pierwotnie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wykonywano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zabiegi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przeznaczyniowej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embolizacji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wykorzystaniem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mikrosfer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bez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efektu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Mikrofalową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termoablację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przeprowadzono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pod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kontrolą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laparoskopii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stosując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kilka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nakłuć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guza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Śr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doperacyjnie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obserwowano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zniszczenie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tkanki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guza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Czas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hospitalizacji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pooperacyjnej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wynosił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2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7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dni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.</w:t>
            </w:r>
          </w:p>
          <w:p w14:paraId="550FDEEF" w14:textId="77777777" w:rsidR="00C84A33" w:rsidRPr="00FB5C9E" w:rsidRDefault="00C84A33" w:rsidP="00E50A57">
            <w:pPr>
              <w:rPr>
                <w:rStyle w:val="Brak"/>
                <w:rFonts w:ascii="Calibri" w:eastAsia="Calibri" w:hAnsi="Calibri" w:cs="Calibri"/>
                <w:sz w:val="20"/>
                <w:szCs w:val="20"/>
              </w:rPr>
            </w:pPr>
          </w:p>
          <w:p w14:paraId="5CE8553C" w14:textId="77777777" w:rsidR="00C84A33" w:rsidRPr="00FB5C9E" w:rsidRDefault="00C84A33" w:rsidP="00E50A57">
            <w:pPr>
              <w:rPr>
                <w:rStyle w:val="Brak"/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Wyniki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: U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żadnego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pacjenta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nie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wystąpiły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powikłania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wczesne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. W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kontrolnych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badaniach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obrazowych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stwierdzono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istotne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zmniejszenie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wymiar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w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guza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pierwszego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pacjenta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. U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drugiego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pacjenta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konieczny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okres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obserwacji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jest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zbyt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krótki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. 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Czas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obserwacji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wynosi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1-6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miesięcy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581AB38A" w14:textId="77777777" w:rsidR="00C84A33" w:rsidRPr="00FB5C9E" w:rsidRDefault="00C84A33" w:rsidP="00E50A57">
            <w:pPr>
              <w:rPr>
                <w:rStyle w:val="Brak"/>
                <w:rFonts w:ascii="Calibri" w:hAnsi="Calibri" w:cs="Calibri"/>
                <w:sz w:val="20"/>
                <w:szCs w:val="20"/>
              </w:rPr>
            </w:pPr>
          </w:p>
          <w:p w14:paraId="13669FAF" w14:textId="77777777" w:rsidR="00C84A33" w:rsidRPr="00FB5C9E" w:rsidRDefault="00C84A33" w:rsidP="00E50A57">
            <w:pPr>
              <w:rPr>
                <w:rStyle w:val="Brak"/>
                <w:rFonts w:ascii="Calibri" w:eastAsia="Calibri" w:hAnsi="Calibri" w:cs="Calibri"/>
                <w:sz w:val="20"/>
                <w:szCs w:val="20"/>
                <w:u w:color="FF0000"/>
              </w:rPr>
            </w:pP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>Wnioski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Termoablacja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mikrofalowa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jest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skuteczną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techniką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leczenia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FNH u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dzieci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.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Zastosowanie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asysty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laparoskopowej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zwiększa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bezpieczeństwo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metody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.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Celem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oceny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odległych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wynik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  <w:lang w:val="es-ES_tradnl"/>
              </w:rPr>
              <w:t>ó</w:t>
            </w:r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w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leczenia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konieczna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jest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dalsza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obserwacja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większej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grupy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pacjent</w:t>
            </w:r>
            <w:proofErr w:type="spellEnd"/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  <w:lang w:val="es-ES_tradnl"/>
              </w:rPr>
              <w:t>ó</w:t>
            </w:r>
            <w:r w:rsidRPr="00FB5C9E">
              <w:rPr>
                <w:rStyle w:val="Brak"/>
                <w:rFonts w:ascii="Calibri" w:hAnsi="Calibri" w:cs="Calibri"/>
                <w:sz w:val="20"/>
                <w:szCs w:val="20"/>
                <w:u w:color="FF0000"/>
              </w:rPr>
              <w:t>w.</w:t>
            </w:r>
          </w:p>
          <w:p w14:paraId="6308BB4A" w14:textId="77777777" w:rsidR="00C84A33" w:rsidRPr="00FB5C9E" w:rsidRDefault="00C84A33" w:rsidP="00E50A57">
            <w:pPr>
              <w:rPr>
                <w:rFonts w:ascii="Calibri" w:hAnsi="Calibri" w:cs="Calibri"/>
                <w:sz w:val="20"/>
                <w:szCs w:val="20"/>
              </w:rPr>
            </w:pPr>
            <w:r w:rsidRPr="00FB5C9E">
              <w:rPr>
                <w:rStyle w:val="Brak"/>
                <w:rFonts w:ascii="Calibri" w:hAnsi="Calibri" w:cs="Calibri"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</w:tr>
    </w:tbl>
    <w:p w14:paraId="39956BAE" w14:textId="77777777" w:rsidR="00C84A33" w:rsidRDefault="00C84A33" w:rsidP="00C84A33">
      <w:pPr>
        <w:pStyle w:val="Nagwek1"/>
        <w:widowControl w:val="0"/>
        <w:ind w:left="110" w:hanging="110"/>
      </w:pPr>
    </w:p>
    <w:p w14:paraId="5B387096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2EE18F39" w14:textId="77777777" w:rsidR="00C84A33" w:rsidRDefault="00C84A33" w:rsidP="00C84A33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C84A33" w:rsidRPr="002A55FB" w14:paraId="5E9DF1AA" w14:textId="77777777" w:rsidTr="00E50A57">
        <w:trPr>
          <w:trHeight w:hRule="exact" w:val="822"/>
        </w:trPr>
        <w:tc>
          <w:tcPr>
            <w:tcW w:w="1418" w:type="dxa"/>
            <w:shd w:val="pct20" w:color="auto" w:fill="FFFFFF"/>
          </w:tcPr>
          <w:p w14:paraId="1E404005" w14:textId="77777777" w:rsidR="00C84A33" w:rsidRPr="002A55FB" w:rsidRDefault="00C84A33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55FB">
              <w:rPr>
                <w:rFonts w:asciiTheme="minorHAnsi" w:hAnsiTheme="minorHAnsi" w:cstheme="minorHAnsi"/>
                <w:sz w:val="20"/>
                <w:szCs w:val="20"/>
              </w:rPr>
              <w:t>Tytuł</w:t>
            </w:r>
            <w:proofErr w:type="spellEnd"/>
            <w:r w:rsidRPr="002A55F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1E4D024" w14:textId="77777777" w:rsidR="00C84A33" w:rsidRPr="002A55FB" w:rsidRDefault="00C84A33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6211C420" w14:textId="77777777" w:rsidR="00C84A33" w:rsidRPr="002A55FB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Zespół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realimentacyjny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jako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wyzwanie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opiece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chirurgicznej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nad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pacjentem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pediatrycznym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opis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przypadku</w:t>
            </w:r>
            <w:proofErr w:type="spellEnd"/>
          </w:p>
        </w:tc>
      </w:tr>
      <w:tr w:rsidR="00C84A33" w:rsidRPr="002A55FB" w14:paraId="7B85A46A" w14:textId="77777777" w:rsidTr="00E50A57">
        <w:trPr>
          <w:trHeight w:hRule="exact" w:val="639"/>
        </w:trPr>
        <w:tc>
          <w:tcPr>
            <w:tcW w:w="1418" w:type="dxa"/>
            <w:shd w:val="pct20" w:color="auto" w:fill="FFFFFF"/>
          </w:tcPr>
          <w:p w14:paraId="6C4CF221" w14:textId="77777777" w:rsidR="00C84A33" w:rsidRPr="002A55FB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A55F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</w:tcPr>
          <w:p w14:paraId="5EF1C0FD" w14:textId="77777777" w:rsidR="00C84A33" w:rsidRPr="002A55FB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A55F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Bogumiła Strumiłło, Bartłomiej Okrzesik, Martyna Lewicka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Pr="002A55F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Katarzyna Ciesielska,  Anna </w:t>
            </w:r>
            <w:proofErr w:type="spellStart"/>
            <w:r w:rsidRPr="002A55F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Piaseczna-Piotrowska</w:t>
            </w:r>
            <w:proofErr w:type="spellEnd"/>
          </w:p>
        </w:tc>
      </w:tr>
      <w:tr w:rsidR="00C84A33" w:rsidRPr="002A55FB" w14:paraId="5641D813" w14:textId="77777777" w:rsidTr="00E50A57">
        <w:trPr>
          <w:trHeight w:hRule="exact" w:val="706"/>
        </w:trPr>
        <w:tc>
          <w:tcPr>
            <w:tcW w:w="1418" w:type="dxa"/>
            <w:shd w:val="pct20" w:color="auto" w:fill="FFFFFF"/>
          </w:tcPr>
          <w:p w14:paraId="51017609" w14:textId="77777777" w:rsidR="00C84A33" w:rsidRPr="002A55FB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A55F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Ośrodek:</w:t>
            </w:r>
          </w:p>
          <w:p w14:paraId="401A171A" w14:textId="77777777" w:rsidR="00C84A33" w:rsidRPr="002A55FB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A55F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43F5267F" w14:textId="77777777" w:rsidR="00C84A33" w:rsidRPr="002A55FB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A55F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ICZMP w Łodzi</w:t>
            </w:r>
          </w:p>
          <w:p w14:paraId="2ED2BF1D" w14:textId="77777777" w:rsidR="00C84A33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hyperlink r:id="rId13" w:history="1">
              <w:r w:rsidRPr="0056747F"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val="pl-PL"/>
                </w:rPr>
                <w:t>sek45@iczmp.edu.pl</w:t>
              </w:r>
            </w:hyperlink>
          </w:p>
          <w:p w14:paraId="65FA815E" w14:textId="77777777" w:rsidR="00C84A33" w:rsidRPr="002A55FB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84A33" w:rsidRPr="002A55FB" w14:paraId="68ED4476" w14:textId="77777777" w:rsidTr="00E50A57">
        <w:trPr>
          <w:trHeight w:hRule="exact" w:val="728"/>
        </w:trPr>
        <w:tc>
          <w:tcPr>
            <w:tcW w:w="1418" w:type="dxa"/>
            <w:shd w:val="pct20" w:color="auto" w:fill="FFFFFF"/>
          </w:tcPr>
          <w:p w14:paraId="370B4471" w14:textId="77777777" w:rsidR="00C84A33" w:rsidRPr="002A55FB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A55F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464D8056" w14:textId="77777777" w:rsidR="00C84A33" w:rsidRPr="002A55FB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A55F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  grudnia 2024</w:t>
            </w:r>
          </w:p>
          <w:p w14:paraId="2641428E" w14:textId="77777777" w:rsidR="00C84A33" w:rsidRPr="002A55FB" w:rsidRDefault="00C84A33" w:rsidP="00E50A57">
            <w:pPr>
              <w:tabs>
                <w:tab w:val="left" w:pos="1365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A55F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30A2F6DC" w14:textId="77777777" w:rsidR="00C84A33" w:rsidRPr="002A55FB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shd w:val="clear" w:color="auto" w:fill="C0C0C0"/>
          </w:tcPr>
          <w:p w14:paraId="76E53561" w14:textId="77777777" w:rsidR="00C84A33" w:rsidRPr="002A55FB" w:rsidRDefault="00C84A33" w:rsidP="00E50A57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2A55F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523DB3D0" w14:textId="77777777" w:rsidR="00C84A33" w:rsidRPr="002A55FB" w:rsidRDefault="00C84A33" w:rsidP="00E50A57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2A55F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242809DB" w14:textId="77777777" w:rsidR="00C84A33" w:rsidRPr="002A55FB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</w:pPr>
            <w:r w:rsidRPr="002A55FB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2F0EE17D" w14:textId="77777777" w:rsidR="00C84A33" w:rsidRPr="002A55FB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84A33" w:rsidRPr="002A55FB" w14:paraId="55BE6D5C" w14:textId="77777777" w:rsidTr="00E50A57">
        <w:trPr>
          <w:trHeight w:hRule="exact" w:val="9561"/>
        </w:trPr>
        <w:tc>
          <w:tcPr>
            <w:tcW w:w="1418" w:type="dxa"/>
            <w:shd w:val="pct20" w:color="auto" w:fill="FFFFFF"/>
          </w:tcPr>
          <w:p w14:paraId="71684AB7" w14:textId="77777777" w:rsidR="00C84A33" w:rsidRPr="002A55FB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A55F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Streszczenie:</w:t>
            </w:r>
            <w:r w:rsidRPr="002A55F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4907453E" w14:textId="77777777" w:rsidR="00C84A33" w:rsidRPr="002A55FB" w:rsidRDefault="00C84A33" w:rsidP="00E50A57">
            <w:pPr>
              <w:pStyle w:val="NormalnyWeb"/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A55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Zespół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realimentacyjny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(ZR) to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poważne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powikłanie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związane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leczeniem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żywieniowym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zarówno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dojelitowym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jak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pozajelitowym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szczególnie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ciężko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niedożywionych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pacjentów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Jest to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zespół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zaburzeń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wielonarządowych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który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prowadzić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niestabilności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hemodynamicznej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zaburzeń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rytmu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serca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oligurii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oraz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poważnych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zaburzeń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elektrolitowych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metabolicznych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takich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jak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hipofosfatemia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hipokaliemia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hipomagnezemia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W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przedstawionym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przypadku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pacjentka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ciężkim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stanie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kacheksji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była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hospitalizowana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operowana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Klinice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Chirurgii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Urologii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Dziecięcej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ICZMP w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Łodzi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Na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podstawie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wyników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laboratoryjnych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rozpoznano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zespół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realimentacyjny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wdrożono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leczenie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zgodnie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zasadą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„start low, go slow”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wraz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monitorowaniem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poziomów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elektrolitów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glukozy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oraz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nerek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Suplementowano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także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witaminę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B1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kontrolowano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serca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36F8319E" w14:textId="77777777" w:rsidR="00C84A33" w:rsidRPr="002A55FB" w:rsidRDefault="00C84A33" w:rsidP="00E50A57">
            <w:pPr>
              <w:pStyle w:val="NormalnyWeb"/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Leczenie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przyniosło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poprawę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poziomu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elektrolitów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co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umożliwiło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dalsze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leczenie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chirurgiczne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Opisany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przypadek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zwraca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uwagę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trudności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lecznicze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dzieci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skrajnym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wyniszczeniem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często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wynikających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obecności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zespołu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realimentacyjnego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Istotą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jest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monitorowanie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stanu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ogólnego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pacjenta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jego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gospodarki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wodno-elektrolitowej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oraz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odpowiednie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stopniowe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wprowadzanie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leczenia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żywieniowego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Kluczowe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znaczenie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współpraca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interdyscyplinarna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celu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kompleksowej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opieki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minimalizacji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ryzyka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powikłań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związanych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zespołem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realimentacyjnym</w:t>
            </w:r>
            <w:proofErr w:type="spellEnd"/>
            <w:r w:rsidRPr="002A55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6A9448EC" w14:textId="77777777" w:rsidR="00C84A33" w:rsidRPr="002A55FB" w:rsidRDefault="00C84A33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05764448" w14:textId="77777777" w:rsidR="00C84A33" w:rsidRPr="005C1A71" w:rsidRDefault="00C84A33" w:rsidP="00C84A33">
      <w:pPr>
        <w:rPr>
          <w:lang w:val="pl-PL"/>
        </w:rPr>
      </w:pPr>
    </w:p>
    <w:p w14:paraId="23B3416C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4753F87A" w14:textId="77777777" w:rsidR="00C84A33" w:rsidRDefault="00C84A33">
      <w:pPr>
        <w:rPr>
          <w:rFonts w:asciiTheme="minorHAnsi" w:hAnsiTheme="minorHAnsi" w:cstheme="minorHAnsi"/>
          <w:bCs/>
          <w:lang w:val="pl-PL"/>
        </w:rPr>
      </w:pPr>
    </w:p>
    <w:p w14:paraId="196BBFFA" w14:textId="77777777" w:rsidR="00C84A33" w:rsidRPr="0010611B" w:rsidRDefault="00C84A33" w:rsidP="00C84A33">
      <w:pPr>
        <w:pStyle w:val="Nagwek1"/>
        <w:rPr>
          <w:rFonts w:asciiTheme="minorHAnsi" w:hAnsiTheme="minorHAnsi" w:cstheme="minorHAnsi"/>
          <w:sz w:val="20"/>
          <w:szCs w:val="20"/>
        </w:rPr>
      </w:pPr>
    </w:p>
    <w:tbl>
      <w:tblPr>
        <w:tblW w:w="10308" w:type="dxa"/>
        <w:tblInd w:w="-641" w:type="dxa"/>
        <w:tblLayout w:type="fixed"/>
        <w:tblLook w:val="0000" w:firstRow="0" w:lastRow="0" w:firstColumn="0" w:lastColumn="0" w:noHBand="0" w:noVBand="0"/>
      </w:tblPr>
      <w:tblGrid>
        <w:gridCol w:w="1596"/>
        <w:gridCol w:w="4392"/>
        <w:gridCol w:w="1704"/>
        <w:gridCol w:w="2616"/>
      </w:tblGrid>
      <w:tr w:rsidR="00C84A33" w:rsidRPr="0010611B" w14:paraId="52D4EB2C" w14:textId="77777777" w:rsidTr="00E50A57">
        <w:trPr>
          <w:trHeight w:hRule="exact" w:val="51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55B09DEE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611B">
              <w:rPr>
                <w:rFonts w:ascii="Calibri" w:hAnsi="Calibri" w:cs="Calibri"/>
                <w:sz w:val="20"/>
                <w:szCs w:val="20"/>
              </w:rPr>
              <w:t>Tytuł</w:t>
            </w:r>
            <w:proofErr w:type="spellEnd"/>
            <w:r w:rsidRPr="0010611B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A79191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6D45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Scyntygrafia nerek po </w:t>
            </w:r>
            <w:proofErr w:type="spellStart"/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pieloplastyce</w:t>
            </w:r>
            <w:proofErr w:type="spellEnd"/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– czy jest to badanie obligatoryjne?</w:t>
            </w:r>
          </w:p>
        </w:tc>
      </w:tr>
      <w:tr w:rsidR="00C84A33" w:rsidRPr="0010611B" w14:paraId="0C4E229E" w14:textId="77777777" w:rsidTr="00E50A57">
        <w:trPr>
          <w:trHeight w:hRule="exact" w:val="127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4D4EE19B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E35A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Hubert Walasiak</w:t>
            </w:r>
            <w:r w:rsidRPr="0010611B">
              <w:rPr>
                <w:rFonts w:ascii="Calibri" w:hAnsi="Calibri" w:cs="Calibri"/>
                <w:sz w:val="20"/>
                <w:szCs w:val="20"/>
                <w:vertAlign w:val="superscript"/>
                <w:lang w:val="pl-PL"/>
              </w:rPr>
              <w:t>1</w:t>
            </w: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, Karolina Jałocha</w:t>
            </w:r>
            <w:r w:rsidRPr="0010611B">
              <w:rPr>
                <w:rFonts w:ascii="Calibri" w:hAnsi="Calibri" w:cs="Calibri"/>
                <w:sz w:val="20"/>
                <w:szCs w:val="20"/>
                <w:vertAlign w:val="superscript"/>
                <w:lang w:val="pl-PL"/>
              </w:rPr>
              <w:t>1</w:t>
            </w: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, Paweł Haliński</w:t>
            </w:r>
            <w:r w:rsidRPr="0010611B">
              <w:rPr>
                <w:rFonts w:ascii="Calibri" w:hAnsi="Calibri" w:cs="Calibri"/>
                <w:sz w:val="20"/>
                <w:szCs w:val="20"/>
                <w:vertAlign w:val="superscript"/>
                <w:lang w:val="pl-PL"/>
              </w:rPr>
              <w:t>2</w:t>
            </w: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, Marcin Polok</w:t>
            </w:r>
            <w:r w:rsidRPr="0010611B">
              <w:rPr>
                <w:rFonts w:ascii="Calibri" w:hAnsi="Calibri" w:cs="Calibri"/>
                <w:sz w:val="20"/>
                <w:szCs w:val="20"/>
                <w:vertAlign w:val="superscript"/>
                <w:lang w:val="pl-PL"/>
              </w:rPr>
              <w:t>2</w:t>
            </w: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  <w:p w14:paraId="22EBF10D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vertAlign w:val="superscript"/>
                <w:lang w:val="pl-PL"/>
              </w:rPr>
              <w:t>1</w:t>
            </w: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Studenckie Koło Naukowe Chirurgii i Urologii Dziecięcej, Collegium </w:t>
            </w:r>
            <w:proofErr w:type="spellStart"/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Medicum</w:t>
            </w:r>
            <w:proofErr w:type="spellEnd"/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Uniwersytetu Zielonogórskiego</w:t>
            </w:r>
          </w:p>
          <w:p w14:paraId="508B5524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vertAlign w:val="superscript"/>
                <w:lang w:val="pl-PL"/>
              </w:rPr>
              <w:t>2</w:t>
            </w: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Kliniczny Oddział Chirurgii i Urologii Dziecięcej, Szpital Uniwersytecki im. Karola Marcinkowskiego w Zielonej Górze</w:t>
            </w:r>
          </w:p>
        </w:tc>
      </w:tr>
      <w:tr w:rsidR="00C84A33" w:rsidRPr="0010611B" w14:paraId="2C3B7E32" w14:textId="77777777" w:rsidTr="00E50A57">
        <w:trPr>
          <w:trHeight w:hRule="exact" w:val="77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2C92C764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Ośrodek:</w:t>
            </w:r>
          </w:p>
          <w:p w14:paraId="15F7FF74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BA7D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Kliniczny Oddział Chirurgii i Urologii Dziecięcej, Szpital Uniwersytecki im. Karola Marcinkowskiego w Zielonej Górze </w:t>
            </w:r>
          </w:p>
          <w:p w14:paraId="047233D7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hubertwa2000@gmail.com</w:t>
            </w:r>
          </w:p>
        </w:tc>
      </w:tr>
      <w:tr w:rsidR="00C84A33" w:rsidRPr="0010611B" w14:paraId="7D60D35B" w14:textId="77777777" w:rsidTr="00E50A57">
        <w:trPr>
          <w:trHeight w:hRule="exact" w:val="106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01651BC2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1EE6A1EB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6  grudnia 2024</w:t>
            </w:r>
          </w:p>
          <w:p w14:paraId="10DE6FF2" w14:textId="77777777" w:rsidR="00C84A33" w:rsidRPr="0010611B" w:rsidRDefault="00C84A33" w:rsidP="00E50A57">
            <w:pPr>
              <w:tabs>
                <w:tab w:val="left" w:pos="1365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3F0A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743399" w14:textId="77777777" w:rsidR="00C84A33" w:rsidRPr="0010611B" w:rsidRDefault="00C84A33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10611B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32EC1EFE" w14:textId="77777777" w:rsidR="00C84A33" w:rsidRPr="0010611B" w:rsidRDefault="00C84A33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10611B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276DC8C5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E2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X</w:t>
            </w:r>
          </w:p>
        </w:tc>
      </w:tr>
      <w:tr w:rsidR="00C84A33" w:rsidRPr="0010611B" w14:paraId="65761E57" w14:textId="77777777" w:rsidTr="00E50A57">
        <w:trPr>
          <w:trHeight w:hRule="exact" w:val="671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0699404D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Streszczenie:</w:t>
            </w: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8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6F5D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Scyntygrafia nerek obok USG układu moczowego jest podstawowym badaniem w diagnostyce</w:t>
            </w:r>
          </w:p>
          <w:p w14:paraId="1C710EC4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wodonercza u dzieci. Z uwagi na skutki uboczne w postaci promieniowania porównywanego do 10-50</w:t>
            </w:r>
          </w:p>
          <w:p w14:paraId="38502FB9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zdjęć radiologicznych klatki piersiowej badanie to w ocenie pooperacyjnej budzi istotne wątpliwości.</w:t>
            </w:r>
          </w:p>
          <w:p w14:paraId="7743A0B9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Celem pracy jest analiza oceny pooperacyjnej po </w:t>
            </w:r>
            <w:proofErr w:type="spellStart"/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pieloplastyce</w:t>
            </w:r>
            <w:proofErr w:type="spellEnd"/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z perspektywy zasadności</w:t>
            </w:r>
          </w:p>
          <w:p w14:paraId="7879D536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wykonywania scyntygrafii nerek.</w:t>
            </w:r>
          </w:p>
          <w:p w14:paraId="74F56A21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Analizie poddano dokumentację medyczną dzieci operowanych z powodu</w:t>
            </w:r>
          </w:p>
          <w:p w14:paraId="05F57B63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wodonercza w okresie 01.01.2019 -20.03.2024 w Klinicznym Oddziale Chirurgii i Urologii Dziecięcej w</w:t>
            </w:r>
          </w:p>
          <w:p w14:paraId="358B4122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Szpitalu Uniwersyteckim im. Karola Marcinkowskiego w Zielonej Górze. Sumarycznie operowano 104</w:t>
            </w:r>
          </w:p>
          <w:p w14:paraId="3A4E89B9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pacjentów, z uwagi na brak pełnej dokumentacji medycznej do analizy zakwalifikowano 70 pacjentów.</w:t>
            </w:r>
          </w:p>
          <w:p w14:paraId="720645E9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Wyniki pogrupowano w zależności od wykonania badania scyntygrafii pooperacyjnej, ponadto</w:t>
            </w:r>
          </w:p>
          <w:p w14:paraId="75B4F553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analizowano wyniki leczenia wodonercza.</w:t>
            </w:r>
          </w:p>
          <w:p w14:paraId="3A3470C2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Spośród 70 pacjentów, scyntygrafię po zabiegu wykonano u 20 (28,6%). Decyzja o wykonaniu</w:t>
            </w:r>
          </w:p>
          <w:p w14:paraId="08D682D8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badania była indywidualnie podjęta przez prowadzącego urologa. W pooperacyjnym USG poprawa była</w:t>
            </w:r>
          </w:p>
          <w:p w14:paraId="28664D12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widoczna u 48, pogorszenie obrazu u 7. Z 20 scyntygrafii 10 wykonano u pacjentów z poprawą w USG, 5</w:t>
            </w:r>
          </w:p>
          <w:p w14:paraId="77A772A5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 pogorszeniem. U wszystkich 5, u których w </w:t>
            </w:r>
            <w:proofErr w:type="spellStart"/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usg</w:t>
            </w:r>
            <w:proofErr w:type="spellEnd"/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nerki utrzymywał się istotny zastój podjęto decyzję o</w:t>
            </w:r>
          </w:p>
          <w:p w14:paraId="6DE60C3D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reoperacji. U żadnego pacjenta z grupy 10, u których była widoczna poprawa w USG nie zdecydowano o</w:t>
            </w:r>
          </w:p>
          <w:p w14:paraId="2D707A5F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konieczności reoperacji. Badanie scyntygrafii nie wniosło nic istotnego w dalszym postępowaniu. U 10 z</w:t>
            </w:r>
          </w:p>
          <w:p w14:paraId="4F134BE1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20 pacjentów nastąpiła poprawa wychwytu znacznika w wyrażona DRF scyntygrafii, 5 miało</w:t>
            </w:r>
          </w:p>
          <w:p w14:paraId="3252C783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porównywalny wynik, a 2 DRF był niższy po zabiegu. </w:t>
            </w:r>
            <w:proofErr w:type="spellStart"/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Reoperowanych</w:t>
            </w:r>
            <w:proofErr w:type="spellEnd"/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było 7 pacjentów, u każdego z</w:t>
            </w:r>
          </w:p>
          <w:p w14:paraId="2CBCBF16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nich po operacji obserwowano utrzymywanie się zastoju.</w:t>
            </w:r>
          </w:p>
          <w:p w14:paraId="5FFB884E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Scyntygrafia jako badanie kontrolne po </w:t>
            </w:r>
            <w:proofErr w:type="spellStart"/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pieloplastyce</w:t>
            </w:r>
            <w:proofErr w:type="spellEnd"/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jest wskazana jedynie w przypadku</w:t>
            </w:r>
          </w:p>
          <w:p w14:paraId="4FA905F5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utrzymywania się zastoju nerki w ultrasonografii. W pozostałych przypadkach wydaje się nie mieć</w:t>
            </w:r>
          </w:p>
          <w:p w14:paraId="225657E1" w14:textId="77777777" w:rsidR="00C84A33" w:rsidRPr="0010611B" w:rsidRDefault="00C84A33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0611B">
              <w:rPr>
                <w:rFonts w:ascii="Calibri" w:hAnsi="Calibri" w:cs="Calibri"/>
                <w:sz w:val="20"/>
                <w:szCs w:val="20"/>
                <w:lang w:val="pl-PL"/>
              </w:rPr>
              <w:t>uzasadnienia. Szczególnie, że badanie to jest związane z niepotrzebnym promieniowaniem dla pacjenta.</w:t>
            </w:r>
          </w:p>
        </w:tc>
      </w:tr>
    </w:tbl>
    <w:p w14:paraId="7F76D401" w14:textId="77777777" w:rsidR="00C84A33" w:rsidRDefault="00C84A33" w:rsidP="00C84A33">
      <w:pPr>
        <w:rPr>
          <w:lang w:val="pl-PL"/>
        </w:rPr>
      </w:pPr>
    </w:p>
    <w:p w14:paraId="7B702C98" w14:textId="77777777" w:rsidR="00C84A33" w:rsidRPr="00D200E2" w:rsidRDefault="00C84A33">
      <w:pPr>
        <w:rPr>
          <w:rFonts w:asciiTheme="minorHAnsi" w:hAnsiTheme="minorHAnsi" w:cstheme="minorHAnsi"/>
          <w:bCs/>
          <w:lang w:val="pl-PL"/>
        </w:rPr>
      </w:pPr>
      <w:bookmarkStart w:id="0" w:name="_GoBack"/>
      <w:bookmarkEnd w:id="0"/>
    </w:p>
    <w:sectPr w:rsidR="00C84A33" w:rsidRPr="00D200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B6DDF" w14:textId="77777777" w:rsidR="00DE4D1D" w:rsidRDefault="00DE4D1D">
      <w:r>
        <w:separator/>
      </w:r>
    </w:p>
  </w:endnote>
  <w:endnote w:type="continuationSeparator" w:id="0">
    <w:p w14:paraId="19F9A4A6" w14:textId="77777777" w:rsidR="00DE4D1D" w:rsidRDefault="00DE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30D8C" w14:textId="77777777" w:rsidR="00246580" w:rsidRDefault="00246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30D8D" w14:textId="77777777" w:rsidR="00246580" w:rsidRDefault="00246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20"/>
        <w:szCs w:val="20"/>
      </w:rPr>
    </w:pPr>
  </w:p>
  <w:p w14:paraId="28030D8E" w14:textId="77777777" w:rsidR="00246580" w:rsidRPr="00055851" w:rsidRDefault="000558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18"/>
        <w:szCs w:val="18"/>
        <w:lang w:val="pl-PL"/>
      </w:rPr>
    </w:pPr>
    <w:r w:rsidRPr="00055851">
      <w:rPr>
        <w:b/>
        <w:color w:val="000000"/>
        <w:sz w:val="18"/>
        <w:szCs w:val="18"/>
        <w:lang w:val="pl-PL"/>
      </w:rPr>
      <w:t xml:space="preserve">Streszczenia pracy należy zgłaszać </w:t>
    </w:r>
  </w:p>
  <w:p w14:paraId="28030D8F" w14:textId="77777777" w:rsidR="00246580" w:rsidRPr="00055851" w:rsidRDefault="000558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18"/>
        <w:szCs w:val="18"/>
        <w:lang w:val="pl-PL"/>
      </w:rPr>
    </w:pPr>
    <w:r w:rsidRPr="00055851">
      <w:rPr>
        <w:b/>
        <w:color w:val="000000"/>
        <w:sz w:val="18"/>
        <w:szCs w:val="18"/>
        <w:lang w:val="pl-PL"/>
      </w:rPr>
      <w:t xml:space="preserve">do dnia  16.11.2024 na adres e-mail: </w:t>
    </w:r>
    <w:hyperlink r:id="rId1">
      <w:r w:rsidRPr="00055851">
        <w:rPr>
          <w:b/>
          <w:color w:val="0000FF"/>
          <w:sz w:val="18"/>
          <w:szCs w:val="18"/>
          <w:u w:val="single"/>
          <w:lang w:val="pl-PL"/>
        </w:rPr>
        <w:t>p.kalicinski@ipczd.pl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30D91" w14:textId="77777777" w:rsidR="00246580" w:rsidRDefault="00246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30B85" w14:textId="77777777" w:rsidR="00DE4D1D" w:rsidRDefault="00DE4D1D">
      <w:r>
        <w:separator/>
      </w:r>
    </w:p>
  </w:footnote>
  <w:footnote w:type="continuationSeparator" w:id="0">
    <w:p w14:paraId="541A8F31" w14:textId="77777777" w:rsidR="00DE4D1D" w:rsidRDefault="00DE4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30D88" w14:textId="77777777" w:rsidR="00246580" w:rsidRDefault="0024658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30D89" w14:textId="77777777" w:rsidR="00246580" w:rsidRPr="00055851" w:rsidRDefault="00055851">
    <w:pPr>
      <w:jc w:val="center"/>
      <w:rPr>
        <w:rFonts w:ascii="Calibri" w:eastAsia="Calibri" w:hAnsi="Calibri" w:cs="Calibri"/>
        <w:sz w:val="20"/>
        <w:szCs w:val="20"/>
        <w:lang w:val="pl-PL"/>
      </w:rPr>
    </w:pPr>
    <w:r w:rsidRPr="00055851">
      <w:rPr>
        <w:rFonts w:ascii="Calibri" w:eastAsia="Calibri" w:hAnsi="Calibri" w:cs="Calibri"/>
        <w:smallCaps/>
        <w:sz w:val="20"/>
        <w:szCs w:val="20"/>
        <w:lang w:val="pl-PL"/>
      </w:rPr>
      <w:t>XXI  SYMPOZJUM “INTERDYSCYPLINARNE PROBLEMY CHIRURGII DZIECIĘCEJ</w:t>
    </w:r>
    <w:r w:rsidRPr="00055851">
      <w:rPr>
        <w:rFonts w:ascii="Calibri" w:eastAsia="Calibri" w:hAnsi="Calibri" w:cs="Calibri"/>
        <w:sz w:val="20"/>
        <w:szCs w:val="20"/>
        <w:lang w:val="pl-PL"/>
      </w:rPr>
      <w:t>” i</w:t>
    </w:r>
  </w:p>
  <w:p w14:paraId="28030D8A" w14:textId="77777777" w:rsidR="00246580" w:rsidRPr="00055851" w:rsidRDefault="00055851">
    <w:pPr>
      <w:jc w:val="center"/>
      <w:rPr>
        <w:rFonts w:ascii="Calibri" w:eastAsia="Calibri" w:hAnsi="Calibri" w:cs="Calibri"/>
        <w:smallCaps/>
        <w:sz w:val="20"/>
        <w:szCs w:val="20"/>
        <w:lang w:val="pl-PL"/>
      </w:rPr>
    </w:pPr>
    <w:r w:rsidRPr="00055851">
      <w:rPr>
        <w:rFonts w:ascii="Calibri" w:eastAsia="Calibri" w:hAnsi="Calibri" w:cs="Calibri"/>
        <w:sz w:val="20"/>
        <w:szCs w:val="20"/>
        <w:lang w:val="pl-PL"/>
      </w:rPr>
      <w:t xml:space="preserve"> XI KONFERENCJA  NAUKOWO-SZKOLENIOWA DLA MŁODYCH LEKARZY SPECJALIZUJĄCYCH SIĘ W CHIRURGII DZIECIĘCEJ  6-7 </w:t>
    </w:r>
    <w:r w:rsidRPr="00055851">
      <w:rPr>
        <w:rFonts w:ascii="Calibri" w:eastAsia="Calibri" w:hAnsi="Calibri" w:cs="Calibri"/>
        <w:smallCaps/>
        <w:sz w:val="20"/>
        <w:szCs w:val="20"/>
        <w:lang w:val="pl-PL"/>
      </w:rPr>
      <w:t>GRUDNIA 2024</w:t>
    </w:r>
  </w:p>
  <w:p w14:paraId="28030D8B" w14:textId="77777777" w:rsidR="00246580" w:rsidRPr="00055851" w:rsidRDefault="00246580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30D90" w14:textId="77777777" w:rsidR="00246580" w:rsidRDefault="0024658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80"/>
    <w:rsid w:val="00055851"/>
    <w:rsid w:val="00246580"/>
    <w:rsid w:val="002A316E"/>
    <w:rsid w:val="004050CD"/>
    <w:rsid w:val="004B3889"/>
    <w:rsid w:val="0064013C"/>
    <w:rsid w:val="006D310A"/>
    <w:rsid w:val="008C1260"/>
    <w:rsid w:val="00C84A33"/>
    <w:rsid w:val="00D200E2"/>
    <w:rsid w:val="00DE4D1D"/>
    <w:rsid w:val="00E8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0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 w:eastAsia="en-US"/>
    </w:rPr>
  </w:style>
  <w:style w:type="paragraph" w:styleId="Nagwek1">
    <w:name w:val="heading 1"/>
    <w:basedOn w:val="Normalny"/>
    <w:next w:val="Normalny"/>
    <w:uiPriority w:val="9"/>
    <w:qFormat/>
    <w:pPr>
      <w:outlineLvl w:val="0"/>
    </w:pPr>
    <w:rPr>
      <w:bCs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bCs/>
      <w:sz w:val="18"/>
      <w:lang w:val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Nagwek">
    <w:name w:val="header"/>
    <w:basedOn w:val="Normalny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sid w:val="00992D2B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DA00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A00C1"/>
    <w:rPr>
      <w:rFonts w:ascii="Arial" w:hAnsi="Arial"/>
      <w:lang w:val="en-GB" w:eastAsia="en-US"/>
    </w:rPr>
  </w:style>
  <w:style w:type="character" w:styleId="Odwoanieprzypisukocowego">
    <w:name w:val="endnote reference"/>
    <w:rsid w:val="00DA00C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3D7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3A3D7F"/>
    <w:rPr>
      <w:rFonts w:ascii="Times New Roman" w:hAnsi="Times New Roma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1">
    <w:name w:val="p1"/>
    <w:basedOn w:val="Normalny"/>
    <w:rsid w:val="00C84A33"/>
    <w:rPr>
      <w:rFonts w:ascii=".AppleSystemUIFont" w:eastAsiaTheme="minorEastAsia" w:hAnsi=".AppleSystemUIFont" w:cs="Times New Roman"/>
      <w:sz w:val="23"/>
      <w:szCs w:val="23"/>
      <w:lang w:val="pl-PL" w:eastAsia="pl-PL"/>
    </w:rPr>
  </w:style>
  <w:style w:type="character" w:customStyle="1" w:styleId="s1">
    <w:name w:val="s1"/>
    <w:basedOn w:val="Domylnaczcionkaakapitu"/>
    <w:rsid w:val="00C84A33"/>
    <w:rPr>
      <w:rFonts w:ascii="UICTFontTextStyleBody" w:hAnsi="UICTFontTextStyleBody" w:hint="default"/>
      <w:b/>
      <w:bCs/>
      <w:i w:val="0"/>
      <w:iCs w:val="0"/>
      <w:sz w:val="23"/>
      <w:szCs w:val="23"/>
    </w:rPr>
  </w:style>
  <w:style w:type="character" w:customStyle="1" w:styleId="apple-converted-space">
    <w:name w:val="apple-converted-space"/>
    <w:basedOn w:val="Domylnaczcionkaakapitu"/>
    <w:rsid w:val="00C84A33"/>
  </w:style>
  <w:style w:type="paragraph" w:styleId="Bezodstpw">
    <w:name w:val="No Spacing"/>
    <w:uiPriority w:val="1"/>
    <w:qFormat/>
    <w:rsid w:val="00C84A33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Brak">
    <w:name w:val="Brak"/>
    <w:rsid w:val="00C84A33"/>
  </w:style>
  <w:style w:type="character" w:customStyle="1" w:styleId="BrakA">
    <w:name w:val="Brak A"/>
    <w:rsid w:val="00C84A33"/>
    <w:rPr>
      <w:lang w:val="en-US"/>
    </w:rPr>
  </w:style>
  <w:style w:type="character" w:customStyle="1" w:styleId="Hyperlink1">
    <w:name w:val="Hyperlink.1"/>
    <w:basedOn w:val="Brak"/>
    <w:rsid w:val="00C84A33"/>
    <w:rPr>
      <w:rFonts w:ascii="Calibri" w:eastAsia="Calibri" w:hAnsi="Calibri" w:cs="Calibri"/>
      <w:outline w:val="0"/>
      <w:color w:val="0000FF"/>
      <w:sz w:val="18"/>
      <w:szCs w:val="18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 w:eastAsia="en-US"/>
    </w:rPr>
  </w:style>
  <w:style w:type="paragraph" w:styleId="Nagwek1">
    <w:name w:val="heading 1"/>
    <w:basedOn w:val="Normalny"/>
    <w:next w:val="Normalny"/>
    <w:uiPriority w:val="9"/>
    <w:qFormat/>
    <w:pPr>
      <w:outlineLvl w:val="0"/>
    </w:pPr>
    <w:rPr>
      <w:bCs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bCs/>
      <w:sz w:val="18"/>
      <w:lang w:val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Nagwek">
    <w:name w:val="header"/>
    <w:basedOn w:val="Normalny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sid w:val="00992D2B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DA00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A00C1"/>
    <w:rPr>
      <w:rFonts w:ascii="Arial" w:hAnsi="Arial"/>
      <w:lang w:val="en-GB" w:eastAsia="en-US"/>
    </w:rPr>
  </w:style>
  <w:style w:type="character" w:styleId="Odwoanieprzypisukocowego">
    <w:name w:val="endnote reference"/>
    <w:rsid w:val="00DA00C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3D7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3A3D7F"/>
    <w:rPr>
      <w:rFonts w:ascii="Times New Roman" w:hAnsi="Times New Roma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1">
    <w:name w:val="p1"/>
    <w:basedOn w:val="Normalny"/>
    <w:rsid w:val="00C84A33"/>
    <w:rPr>
      <w:rFonts w:ascii=".AppleSystemUIFont" w:eastAsiaTheme="minorEastAsia" w:hAnsi=".AppleSystemUIFont" w:cs="Times New Roman"/>
      <w:sz w:val="23"/>
      <w:szCs w:val="23"/>
      <w:lang w:val="pl-PL" w:eastAsia="pl-PL"/>
    </w:rPr>
  </w:style>
  <w:style w:type="character" w:customStyle="1" w:styleId="s1">
    <w:name w:val="s1"/>
    <w:basedOn w:val="Domylnaczcionkaakapitu"/>
    <w:rsid w:val="00C84A33"/>
    <w:rPr>
      <w:rFonts w:ascii="UICTFontTextStyleBody" w:hAnsi="UICTFontTextStyleBody" w:hint="default"/>
      <w:b/>
      <w:bCs/>
      <w:i w:val="0"/>
      <w:iCs w:val="0"/>
      <w:sz w:val="23"/>
      <w:szCs w:val="23"/>
    </w:rPr>
  </w:style>
  <w:style w:type="character" w:customStyle="1" w:styleId="apple-converted-space">
    <w:name w:val="apple-converted-space"/>
    <w:basedOn w:val="Domylnaczcionkaakapitu"/>
    <w:rsid w:val="00C84A33"/>
  </w:style>
  <w:style w:type="paragraph" w:styleId="Bezodstpw">
    <w:name w:val="No Spacing"/>
    <w:uiPriority w:val="1"/>
    <w:qFormat/>
    <w:rsid w:val="00C84A33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Brak">
    <w:name w:val="Brak"/>
    <w:rsid w:val="00C84A33"/>
  </w:style>
  <w:style w:type="character" w:customStyle="1" w:styleId="BrakA">
    <w:name w:val="Brak A"/>
    <w:rsid w:val="00C84A33"/>
    <w:rPr>
      <w:lang w:val="en-US"/>
    </w:rPr>
  </w:style>
  <w:style w:type="character" w:customStyle="1" w:styleId="Hyperlink1">
    <w:name w:val="Hyperlink.1"/>
    <w:basedOn w:val="Brak"/>
    <w:rsid w:val="00C84A33"/>
    <w:rPr>
      <w:rFonts w:ascii="Calibri" w:eastAsia="Calibri" w:hAnsi="Calibri" w:cs="Calibri"/>
      <w:outline w:val="0"/>
      <w:color w:val="0000FF"/>
      <w:sz w:val="18"/>
      <w:szCs w:val="18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urgia@skp.ump.edu.pl" TargetMode="External"/><Relationship Id="rId13" Type="http://schemas.openxmlformats.org/officeDocument/2006/relationships/hyperlink" Target="mailto:sek45@iczmp.edu.pl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.skwarek@ipczd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gorzata.rzanny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ekretchir@skp.ump.edu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hmed.daban@gmail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.kalicinski@ipc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bIhIhnC9xdAxe4o35yN67/95TA==">CgMxLjA4AHIhMVRON3JHY0NtSkUzS1lzS296UUktM0NXMldaajdKY1U3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3042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Wilson</dc:creator>
  <cp:lastModifiedBy>Przemysław Trzciński</cp:lastModifiedBy>
  <cp:revision>5</cp:revision>
  <dcterms:created xsi:type="dcterms:W3CDTF">2024-11-14T15:10:00Z</dcterms:created>
  <dcterms:modified xsi:type="dcterms:W3CDTF">2024-11-29T08:06:00Z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ximumWords">
    <vt:i4>250</vt:i4>
  </property>
</Properties>
</file>