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D4E9" w14:textId="77777777" w:rsidR="00AE3954" w:rsidRDefault="00AE3954">
      <w:pPr>
        <w:pStyle w:val="Nagwek1"/>
      </w:pPr>
    </w:p>
    <w:tbl>
      <w:tblPr>
        <w:tblStyle w:val="a"/>
        <w:tblW w:w="963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7"/>
        <w:gridCol w:w="4395"/>
        <w:gridCol w:w="1700"/>
        <w:gridCol w:w="2126"/>
      </w:tblGrid>
      <w:tr w:rsidR="00AE3954" w:rsidRPr="001D6209" w14:paraId="3D456E85" w14:textId="77777777" w:rsidTr="001D6209">
        <w:trPr>
          <w:trHeight w:val="60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DBC5B6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Tytuł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</w:p>
          <w:p w14:paraId="543CB381" w14:textId="77777777" w:rsidR="00AE3954" w:rsidRPr="001D6209" w:rsidRDefault="00AE395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448" w14:textId="77777777" w:rsidR="00AE3954" w:rsidRPr="001D6209" w:rsidRDefault="00424A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Wyjątkowa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“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wygrana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”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loterii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przypadek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noworodka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afalią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E3954" w:rsidRPr="001D6209" w14:paraId="049A96A5" w14:textId="77777777">
        <w:trPr>
          <w:trHeight w:val="6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ADBF48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Autorzy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F443" w14:textId="3C1E5106" w:rsidR="00AE3954" w:rsidRPr="001D6209" w:rsidRDefault="00424A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Sara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Karwot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Bartosz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Gogolok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Katarzyna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Rasiewicz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Wojciech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Apoznański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Dariusz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Patkowski</w:t>
            </w:r>
            <w:proofErr w:type="spellEnd"/>
          </w:p>
        </w:tc>
      </w:tr>
      <w:tr w:rsidR="00AE3954" w:rsidRPr="001D6209" w14:paraId="6ECA4088" w14:textId="77777777">
        <w:trPr>
          <w:trHeight w:val="70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91E56C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Ośrodek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</w:p>
          <w:p w14:paraId="2D1B43E4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E-mail: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BA3" w14:textId="77777777" w:rsidR="00AE3954" w:rsidRPr="001D6209" w:rsidRDefault="00424A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bookmark=id.gjdgxs" w:colFirst="0" w:colLast="0"/>
            <w:bookmarkEnd w:id="0"/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Klinika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Chirurgii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Urologii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Dziecięcej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USK we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Wrocławiu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B4A5C77" w14:textId="77777777" w:rsidR="00AE3954" w:rsidRPr="001D6209" w:rsidRDefault="00424A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sara.karwot@usk.wroc.pl</w:t>
            </w:r>
          </w:p>
        </w:tc>
      </w:tr>
      <w:tr w:rsidR="00AE3954" w:rsidRPr="001D6209" w14:paraId="444B8A13" w14:textId="77777777" w:rsidTr="001D6209">
        <w:trPr>
          <w:trHeight w:val="1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1A929F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XXI </w:t>
            </w: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Sympozjum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Interdyscyplinarne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677C948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6  </w:t>
            </w: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grudnia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2024</w:t>
            </w:r>
          </w:p>
          <w:p w14:paraId="6C71C218" w14:textId="77777777" w:rsidR="00AE3954" w:rsidRPr="001D6209" w:rsidRDefault="00424A0D">
            <w:pPr>
              <w:tabs>
                <w:tab w:val="left" w:pos="1365"/>
              </w:tabs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doniesienie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0522" w14:textId="77777777" w:rsidR="00AE3954" w:rsidRPr="001D6209" w:rsidRDefault="00AE395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41D147" w14:textId="77777777" w:rsidR="00AE3954" w:rsidRPr="001D6209" w:rsidRDefault="00424A0D">
            <w:pPr>
              <w:pStyle w:val="Nagwek2"/>
              <w:jc w:val="left"/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</w:pPr>
            <w:r w:rsidRPr="001D6209"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2C066829" w14:textId="77777777" w:rsidR="00AE3954" w:rsidRPr="001D6209" w:rsidRDefault="00424A0D">
            <w:pPr>
              <w:pStyle w:val="Nagwek2"/>
              <w:jc w:val="left"/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</w:pPr>
            <w:r w:rsidRPr="001D6209">
              <w:rPr>
                <w:rFonts w:asciiTheme="minorHAnsi" w:eastAsia="Calibri" w:hAnsiTheme="minorHAnsi" w:cstheme="minorHAnsi"/>
                <w:b w:val="0"/>
                <w:sz w:val="20"/>
                <w:szCs w:val="20"/>
                <w:highlight w:val="lightGray"/>
              </w:rPr>
              <w:t>7 grudnia 2024</w:t>
            </w:r>
          </w:p>
          <w:p w14:paraId="0CD6BECB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highlight w:val="lightGray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  <w:highlight w:val="lightGray"/>
              </w:rPr>
              <w:t>doniesienie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  <w:highlight w:val="lightGray"/>
              </w:rPr>
              <w:t>ustne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9AE" w14:textId="0AACD461" w:rsidR="00AE3954" w:rsidRPr="001D6209" w:rsidRDefault="001D620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E3954" w:rsidRPr="001D6209" w14:paraId="7DB13A16" w14:textId="77777777" w:rsidTr="001D6209">
        <w:trPr>
          <w:trHeight w:val="77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FCC7C8" w14:textId="77777777" w:rsidR="00AE3954" w:rsidRPr="001D6209" w:rsidRDefault="00424A0D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Streszczenie</w:t>
            </w:r>
            <w:proofErr w:type="spellEnd"/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:</w:t>
            </w:r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512" w14:textId="77777777" w:rsidR="00AE3954" w:rsidRPr="001D6209" w:rsidRDefault="00424A0D">
            <w:pPr>
              <w:ind w:firstLine="14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2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Afalia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czyli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agenezja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prącia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występuje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średnio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raz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30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milionów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urodzeń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literaturze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opisano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kilkadziesiąt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przypadków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jednak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postępowanie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pacjentem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zarówno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zaraz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narodzinach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jak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długofalowy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plan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opieki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nadal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niejednoznaczne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F944CF8" w14:textId="77777777" w:rsidR="00AE3954" w:rsidRPr="001D6209" w:rsidRDefault="00424A0D">
            <w:pPr>
              <w:spacing w:line="276" w:lineRule="auto"/>
              <w:ind w:firstLine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Celem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pracy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jest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omówienie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wady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zaproponowanie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postępowania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pacjentem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pierws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zych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chwilach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życia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podstawie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opisu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przypadku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noworodka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agenezją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prącia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759A03C" w14:textId="77777777" w:rsidR="00AE3954" w:rsidRPr="001D6209" w:rsidRDefault="00424A0D">
            <w:pPr>
              <w:spacing w:line="276" w:lineRule="auto"/>
              <w:ind w:firstLine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Donoszony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noworodek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płci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męskiej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drugiej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dobie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życia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został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przekazany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Kliniki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Chirurgii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Urologii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Dziecięcej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we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Wrocławiu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powodu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afalii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Ciąża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przebiegała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powikłań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Fizykalnie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stwierdzono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całkowity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brak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prącia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oraz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prawidłowo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wykształconą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mosznę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zawierającą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oba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jądra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stwierdzono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ujścia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cewki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moczowej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obrębie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krocza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natomiast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obserwowano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okresowo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wyciek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moczu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toku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diagnostyki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wykonano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USG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jamy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brzus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znej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miednicy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mniejszej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podczas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którego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uchwycono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moment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opróżniania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pęcherza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odbytnicy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przetokę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badaniu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MR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miednicy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mniejszej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opisano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cewkę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moczową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długości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5mm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połączoną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kanałem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uwidoczniono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prostaty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pęcherzyków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nasiennych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stwierdzono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hipoplastyczne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mięśnie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kanału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także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niepełne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zdwojenie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rotację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nerki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lewej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Chłopca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zakwalifikowano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rektoskopii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diagnostycznej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Podczas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zabiegu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uwidoczniono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szerokie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ujście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przetoki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przedniej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ścianie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odbytnicy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tuż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linią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ębatą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wbrew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opisowi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MR,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gdzie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sugerowane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było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ujście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kanału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odbytu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Od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urodzenia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dziecka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stosowana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była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profilaktyka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zakażeń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układu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moczowego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początkowo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ampicyliną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gentamycyną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którą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przed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wypisem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zmieniono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amoksycylinę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następnie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furagin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Podczas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hospitalizacji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parametry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zapalne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oraz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nerkowe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pozostawały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normie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Pacjenta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dobrym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ogólnym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wypisano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domu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pozostaje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opieką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poradni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Urologicznej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oraz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Nefrologicznej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dla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Dzieci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tej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pory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stwierdzono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pojedynczy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epizod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bezobjawoweg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zakażenia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układu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moczowego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które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wyleczono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pomocy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biotaksymu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464E4FB" w14:textId="77777777" w:rsidR="00AE3954" w:rsidRPr="001D6209" w:rsidRDefault="00424A0D">
            <w:pPr>
              <w:spacing w:line="276" w:lineRule="auto"/>
              <w:ind w:firstLine="4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Agenezja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prącia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jest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wadą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bardzo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rzadką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potencjalnie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złożoną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lat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90-tych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panowało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przekonanie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że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najwłaściwszą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jest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orchidektomia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wychowanie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dziecka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jako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dziewczynki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Obecnie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je</w:t>
            </w:r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dnak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postępowanie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powinno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być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dostosowane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indywidualnie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przypadku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dlatego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naszego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pacjenta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przyjęto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postawę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wyczekującą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jak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tej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pory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bez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konieczności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inwazyjnej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ingerencji</w:t>
            </w:r>
            <w:proofErr w:type="spellEnd"/>
            <w:r w:rsidRPr="001D620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130E5415" w14:textId="77777777" w:rsidR="00AE3954" w:rsidRDefault="00AE3954"/>
    <w:p w14:paraId="27C030C7" w14:textId="77777777" w:rsidR="00424A0D" w:rsidRDefault="00424A0D"/>
    <w:p w14:paraId="131BF7A5" w14:textId="77777777" w:rsidR="00424A0D" w:rsidRDefault="00424A0D"/>
    <w:p w14:paraId="32F83502" w14:textId="77777777" w:rsidR="00424A0D" w:rsidRDefault="00424A0D"/>
    <w:p w14:paraId="77164CD0" w14:textId="77777777" w:rsidR="00424A0D" w:rsidRDefault="00424A0D"/>
    <w:p w14:paraId="2D8DC585" w14:textId="77777777" w:rsidR="00424A0D" w:rsidRDefault="00424A0D"/>
    <w:p w14:paraId="39A090EA" w14:textId="77777777" w:rsidR="00424A0D" w:rsidRDefault="00424A0D" w:rsidP="00424A0D">
      <w:pPr>
        <w:pStyle w:val="Nagwek1"/>
      </w:pP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20"/>
        <w:gridCol w:w="3779"/>
        <w:gridCol w:w="1462"/>
        <w:gridCol w:w="1829"/>
      </w:tblGrid>
      <w:tr w:rsidR="00424A0D" w:rsidRPr="00A37B50" w14:paraId="25C688A9" w14:textId="77777777" w:rsidTr="00E50A57">
        <w:trPr>
          <w:trHeight w:hRule="exact" w:val="95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463C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54D8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 xml:space="preserve">Chirurgiczne leczenie GERD techniką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Nissena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: laparoskopia versus chirurgia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>: uaktualniona metaanaliza z systematycznym przeglądem literatury</w:t>
            </w:r>
          </w:p>
          <w:p w14:paraId="3E2ED5A2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4A0D" w:rsidRPr="00A37B50" w14:paraId="64A0A484" w14:textId="77777777" w:rsidTr="00E50A57">
        <w:trPr>
          <w:trHeight w:hRule="exact" w:val="56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88F2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Autorzy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85AD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studenci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Maria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Klimeczek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Chrapusta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Maciej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Preinl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Kacper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Stolarz</w:t>
            </w:r>
            <w:proofErr w:type="spellEnd"/>
          </w:p>
          <w:p w14:paraId="0BFC2EEB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lekarze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lek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med Maria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Gruba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 med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Bartosz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Bogusz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 med, prof UJ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Wojciech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Górecki</w:t>
            </w:r>
            <w:proofErr w:type="spellEnd"/>
          </w:p>
        </w:tc>
      </w:tr>
      <w:tr w:rsidR="00424A0D" w:rsidRPr="00A37B50" w14:paraId="47B3809D" w14:textId="77777777" w:rsidTr="00E50A57">
        <w:trPr>
          <w:trHeight w:hRule="exact" w:val="59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502C" w14:textId="77777777" w:rsidR="00424A0D" w:rsidRPr="00A37B50" w:rsidRDefault="00424A0D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Ośrodek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91450E5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41C7" w14:textId="77777777" w:rsidR="00424A0D" w:rsidRPr="00A37B50" w:rsidRDefault="00424A0D" w:rsidP="00E50A57">
            <w:pP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Studenckie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Koło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Naukowe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Chirurgii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Dziecięcej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Chirurgii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Dziecięcej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Uniwersytecki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Szpital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Dziecięcy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Krakowie</w:t>
            </w:r>
            <w:proofErr w:type="spellEnd"/>
          </w:p>
          <w:p w14:paraId="0C983EF2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A37B50">
                <w:rPr>
                  <w:rStyle w:val="Link"/>
                  <w:rFonts w:ascii="Calibri" w:hAnsi="Calibri" w:cs="Calibri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maria.klimeczek.chrapusta@student.uj.edu</w:t>
              </w:r>
            </w:hyperlink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.pl</w:t>
            </w:r>
          </w:p>
        </w:tc>
      </w:tr>
      <w:tr w:rsidR="00424A0D" w:rsidRPr="00A37B50" w14:paraId="7B6D4718" w14:textId="77777777" w:rsidTr="00E50A57">
        <w:trPr>
          <w:trHeight w:hRule="exact" w:val="102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D170" w14:textId="77777777" w:rsidR="00424A0D" w:rsidRPr="00A37B50" w:rsidRDefault="00424A0D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 xml:space="preserve">XXI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Sympozjum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Interdyscyplinarne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CC49DB1" w14:textId="77777777" w:rsidR="00424A0D" w:rsidRPr="00A37B50" w:rsidRDefault="00424A0D" w:rsidP="00E50A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 xml:space="preserve">6 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grudnia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2024</w:t>
            </w:r>
          </w:p>
          <w:p w14:paraId="0DE24747" w14:textId="77777777" w:rsidR="00424A0D" w:rsidRPr="00A37B50" w:rsidRDefault="00424A0D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doniesienie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1635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B78F" w14:textId="77777777" w:rsidR="00424A0D" w:rsidRPr="00A37B50" w:rsidRDefault="00424A0D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</w:pPr>
            <w:r w:rsidRPr="00A37B50">
              <w:rPr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 xml:space="preserve">XI Konferencja Naukowo-Szkoleniowe </w:t>
            </w:r>
          </w:p>
          <w:p w14:paraId="03ABCDA8" w14:textId="77777777" w:rsidR="00424A0D" w:rsidRPr="00A37B50" w:rsidRDefault="00424A0D" w:rsidP="00E50A57">
            <w:pPr>
              <w:pStyle w:val="Nagwek2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</w:pPr>
            <w:r w:rsidRPr="00A37B50">
              <w:rPr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C0C0C0"/>
              </w:rPr>
              <w:t>7 grudnia 2024</w:t>
            </w:r>
          </w:p>
          <w:p w14:paraId="70FD5E4D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  <w:shd w:val="clear" w:color="auto" w:fill="C0C0C0"/>
              </w:rPr>
              <w:t>doniesienie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  <w:shd w:val="clear" w:color="auto" w:fill="C0C0C0"/>
              </w:rPr>
              <w:t>ustne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999F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424A0D" w:rsidRPr="00A37B50" w14:paraId="0131ED6E" w14:textId="77777777" w:rsidTr="00E50A57">
        <w:trPr>
          <w:trHeight w:hRule="exact" w:val="925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57DC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Streszczenie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>:</w:t>
            </w:r>
            <w:r w:rsidRPr="00A37B50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5B60" w14:textId="77777777" w:rsidR="00424A0D" w:rsidRPr="00A37B50" w:rsidRDefault="00424A0D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Wstęp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Fundoplikacja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metodą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Nissena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była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historycznie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pierwszą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operacją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wykonaną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dziecka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obecnie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należy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najczęściej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wykonywanych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operacji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robotycznych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chirurgii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ogólnej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dzieci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Mimo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zastosowanie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chirurgii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(RAS) w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tej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grupie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pacjentów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wciąż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budzi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kontrowersje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wśró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  <w:lang w:val="it-IT"/>
              </w:rPr>
              <w:t>d chirurg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ów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Choć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RAS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przewyższa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laparoskopię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pod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względem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precyzji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jakości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wizualizacji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jej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szersze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wykorzystanie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chirurgii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dziecięcej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ograniczają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takie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czynniki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jak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brak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odpowiednio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małych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narzędzi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oraz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wysokie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koszty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zakupu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sprzętu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. Aby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lepiej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ocenić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bezpieczeństwo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skuteczność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obu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metod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fundoplikacji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laparoskopowej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robotycznej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przeprowadziliśmy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metaanalizę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systematycznym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przeglądzie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literatury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E2E6483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4D2F27F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  <w:lang w:val="pt-PT"/>
              </w:rPr>
              <w:t xml:space="preserve">Metodologia: </w:t>
            </w:r>
            <w:r w:rsidRPr="00A37B50">
              <w:rPr>
                <w:rFonts w:ascii="Calibri" w:hAnsi="Calibri" w:cs="Calibri"/>
                <w:sz w:val="20"/>
                <w:szCs w:val="20"/>
              </w:rPr>
              <w:t xml:space="preserve">Trzy elektroniczne bazy danych: MEDLINE, EMBASE i Web of Science zostały przeszukane w poszukiwaniu badań porównujących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fundoplikację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laparoskopową (LF) i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robotyczną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(RAF), które powstały od początku do października 2024 roku. Analizowane parametry bezpieczeństwa obejmowały: powikłania śród- i pooperacyjne oraz konwersje do metody otwartej. Badane wyniki skuteczności obejmowały: długość hospitalizacji (LOS), całkowity czas operacji (OT), zapotrzebowanie na analgezję, potrzebę gastrostomii oraz koszt zabiegu. Meta-analiza została przeprowadzona z wykorzystaniem modelu efektów losowych.</w:t>
            </w:r>
          </w:p>
          <w:p w14:paraId="3BADC42F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44C14F2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>Rezultaty: Wstępnej ocenie poddano 156 artykułów. Ostatecznie do analizy włączono 10 artykułów spełniających kryteria włączenia, gdzie sumarycznie grupa badawcza obejmowała 499 dzieci. Analiza zbiorcza wykazała homogeniczność grupy kontrolnej i badawczej pod względem wieku, wagi oraz ilości dzieci z zaburzeniami neurologicznymi. Zauważono tendencję do krótszego mniejszego zużycia analgezji, krótszego LOS, mniejszej ilości konwersji, komplikacji pooperacyjnych i śródoperacyjnych dla metody RAF, jednakże te wyniki nie są statycznie istotne (p&gt;0.05). Czas operacji miał tendencję krótszą w metodzie LF, ale ten wynik, też nie jest statystycznie istotny.</w:t>
            </w:r>
          </w:p>
          <w:p w14:paraId="45CC4189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FAF265" w14:textId="77777777" w:rsidR="00424A0D" w:rsidRPr="00A37B50" w:rsidRDefault="00424A0D" w:rsidP="00E50A57">
            <w:pPr>
              <w:pStyle w:val="Default"/>
              <w:spacing w:before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7B50">
              <w:rPr>
                <w:rFonts w:ascii="Calibri" w:hAnsi="Calibri" w:cs="Calibri"/>
                <w:sz w:val="20"/>
                <w:szCs w:val="20"/>
              </w:rPr>
              <w:t>Wnioski: Przeprowadzona metaanaliza nie wykazała statystycznie istotnych różnic między RAF a LF w odniesieniu do analizowanych parametrów bezpieczeństwa i skuteczności. Wyniki sugerują, że metoda RAF jest porównywalna z LF. Wnioskujemy, ż</w:t>
            </w:r>
            <w:r w:rsidRPr="00A37B50">
              <w:rPr>
                <w:rFonts w:ascii="Calibri" w:hAnsi="Calibri" w:cs="Calibri"/>
                <w:sz w:val="20"/>
                <w:szCs w:val="20"/>
                <w:lang w:val="it-IT"/>
              </w:rPr>
              <w:t>e dop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óki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nie zostaną udowodnione wyraźne korzyści kliniczne, chirurgia wspomagana </w:t>
            </w:r>
            <w:proofErr w:type="spellStart"/>
            <w:r w:rsidRPr="00A37B50">
              <w:rPr>
                <w:rFonts w:ascii="Calibri" w:hAnsi="Calibri" w:cs="Calibri"/>
                <w:sz w:val="20"/>
                <w:szCs w:val="20"/>
              </w:rPr>
              <w:t>robotycznie</w:t>
            </w:r>
            <w:proofErr w:type="spellEnd"/>
            <w:r w:rsidRPr="00A37B50">
              <w:rPr>
                <w:rFonts w:ascii="Calibri" w:hAnsi="Calibri" w:cs="Calibri"/>
                <w:sz w:val="20"/>
                <w:szCs w:val="20"/>
              </w:rPr>
              <w:t xml:space="preserve"> musi być uzasadniona innymi zaletami, takimi jak poprawiona ergonomia, eliminacja drżenia rąk czy większy zakres ruchów, aby usprawiedliwić dodatkowe koszty zakupu i utrzymania sprzętu.</w:t>
            </w:r>
          </w:p>
        </w:tc>
      </w:tr>
    </w:tbl>
    <w:p w14:paraId="736E352D" w14:textId="77777777" w:rsidR="00424A0D" w:rsidRDefault="00424A0D" w:rsidP="00424A0D">
      <w:pPr>
        <w:pStyle w:val="Nagwek1"/>
        <w:widowControl w:val="0"/>
      </w:pPr>
    </w:p>
    <w:p w14:paraId="32DF3FD5" w14:textId="77777777" w:rsidR="00424A0D" w:rsidRDefault="00424A0D"/>
    <w:p w14:paraId="1A2CE9BA" w14:textId="77777777" w:rsidR="00424A0D" w:rsidRDefault="00424A0D" w:rsidP="00424A0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424A0D" w:rsidRPr="00DE40B4" w14:paraId="6B862A48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480F459C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EE3EA0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2AE54882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Treatment of bilateral diaphragmatic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paralysis in infant</w:t>
            </w:r>
          </w:p>
          <w:p w14:paraId="391B6889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24A0D" w:rsidRPr="00DE40B4" w14:paraId="79939D57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510F62F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46C11D73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Kovalskyy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R., 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Leniv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0., 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Pohlod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</w:t>
            </w:r>
            <w:r w:rsidRPr="00DE40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</w:tr>
      <w:tr w:rsidR="00424A0D" w:rsidRPr="00DE40B4" w14:paraId="7567B425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2F080745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620BB4DC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7626511B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KNP Rady Obwodu Lwowskiego „Centrum Kliniczne Medycyny Dziecięcej”</w:t>
            </w:r>
            <w:r w:rsidRPr="00DE40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Szpital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E40B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“ОХМАТДИТ”</w:t>
            </w:r>
          </w:p>
          <w:p w14:paraId="37027C4F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9" w:tooltip="mailto:olenka.poglod.ua@gmail.com" w:history="1">
              <w:r w:rsidRPr="00DE40B4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en-US"/>
                </w:rPr>
                <w:t>olenka.poglod.ua@gmail.com</w:t>
              </w:r>
            </w:hyperlink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424A0D" w:rsidRPr="00DE40B4" w14:paraId="3B1B38A9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2676DA4B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8A1239F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18E06354" w14:textId="77777777" w:rsidR="00424A0D" w:rsidRPr="00DE40B4" w:rsidRDefault="00424A0D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734F5BD0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468233A6" w14:textId="77777777" w:rsidR="00424A0D" w:rsidRPr="00DE40B4" w:rsidRDefault="00424A0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DE40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X</w:t>
            </w:r>
            <w:r w:rsidRPr="00DE40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  <w:lang w:val="uk-UA"/>
              </w:rPr>
              <w:t>Х</w:t>
            </w:r>
            <w:r w:rsidRPr="00DE40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I Konferencja Naukowo-Szkoleniowe </w:t>
            </w:r>
          </w:p>
          <w:p w14:paraId="0C042F2A" w14:textId="77777777" w:rsidR="00424A0D" w:rsidRPr="00DE40B4" w:rsidRDefault="00424A0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DE40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17921927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Raport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plakatowy</w:t>
            </w:r>
            <w:proofErr w:type="spellEnd"/>
          </w:p>
        </w:tc>
        <w:tc>
          <w:tcPr>
            <w:tcW w:w="2126" w:type="dxa"/>
          </w:tcPr>
          <w:p w14:paraId="5ADBBE2A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24A0D" w:rsidRPr="00DE40B4" w14:paraId="350CB08A" w14:textId="77777777" w:rsidTr="00E50A57">
        <w:trPr>
          <w:trHeight w:hRule="exact" w:val="7656"/>
        </w:trPr>
        <w:tc>
          <w:tcPr>
            <w:tcW w:w="1418" w:type="dxa"/>
            <w:shd w:val="pct20" w:color="auto" w:fill="FFFFFF"/>
          </w:tcPr>
          <w:p w14:paraId="1E597859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696AB6B6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0B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Wstęp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Jedną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przyczyn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niewydolności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oddechowej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noworodków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niedowład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porażenie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przepony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. Jest to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skutek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uszkodzenia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splotu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ramiennego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nerwu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przeponowego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podczas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urazu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porodowego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.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zdecydowanej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większości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dzieje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jednostronnie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objawia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objawami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ciężkiej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niewydolności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oddechowej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.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obustronnego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uszkodzenia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niewydolność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oddechowa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znacznie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pogarsza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wymaga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bardziej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złożonego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leczenia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F04FCA" w14:textId="77777777" w:rsidR="00424A0D" w:rsidRPr="00DE40B4" w:rsidRDefault="00424A0D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Nasz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zespół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przedstawia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wyniki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noworodka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obustronnym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porażeniem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Stosowaną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przez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nas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operacyjnego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wszczepienie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rozrusznika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731D2E5" w14:textId="77777777" w:rsidR="00424A0D" w:rsidRPr="00DE40B4" w:rsidRDefault="00424A0D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Wyniki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Przedstawiamy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noworodka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płci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męskiej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masą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urodzeniową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2750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gramów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(data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urodzenie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11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września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2020 r.),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który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urodził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37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tygodniu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ciąży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26-letniej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pierworodnej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ciąży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wywiadzie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asfiksja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przez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cały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okres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porodu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spowodowana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splątaniem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pępowiny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zespołem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nadmiernych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zaburzeń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oddychania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Paradoksalne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oddychanie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uniesienie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zdjęciu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RTG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klatki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piersiowej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bardziej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widoczne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stronie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wskazywało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obustronne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porażenie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Pacjent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był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wentylowany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mechanicznie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trybie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wspomagającym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parametrach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Fi02 – 50%, PEEP – 5 H20,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częstość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oddechów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30).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Dziecko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zastosowano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leczenie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objawowe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Cerebrocurium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 mg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Agvantar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ml/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dzień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Bendazolum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mg/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dzień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Próby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odłączenia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chorego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wentylacji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mechanicznej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wspomagania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oddychania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okres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miesięcy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zakończyły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niepowodzeniem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przyniosły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rezultatów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Dziecku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wykonano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tracheostomię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Kolejne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7-miesięczne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niemowlę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wymagało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mechanicznego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przepływu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powietrza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przez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tracheostomę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Elektroneuromiografia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wykazała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niedokrwienną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mielopatię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szyjną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uszkodzeniem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nerwu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związku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tym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dniu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czerwca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2021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niemowlęcia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przeprowadzono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operację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wszczepienie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rozrusznika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stronie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Wynik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implantacji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uzyskano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elektroneuromografii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która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potwierdziła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poprawę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funkcji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dniu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2021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wszczepiono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rozrusznik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przeponowy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stronie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lewej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Wyniki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monitorowano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pomocą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elektromiografii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ultradźwięków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Pozytywny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efekt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Dziś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dziecko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oddycha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samodzielnie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potrzebuje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wspomagania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oddechowego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5D748537" w14:textId="77777777" w:rsidR="00424A0D" w:rsidRPr="00DE40B4" w:rsidRDefault="00424A0D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Wnioski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Wszczepienie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rozrusznika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przeponowego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jedną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możliwych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leczenia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operacyjnego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przypadku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obustronnego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porażenia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przepony</w:t>
            </w:r>
            <w:proofErr w:type="spellEnd"/>
            <w:r w:rsidRPr="00DE40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5A2769A4" w14:textId="77777777" w:rsidR="00424A0D" w:rsidRPr="00DE40B4" w:rsidRDefault="00424A0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42DD708E" w14:textId="77777777" w:rsidR="00424A0D" w:rsidRDefault="00424A0D" w:rsidP="00424A0D">
      <w:pPr>
        <w:rPr>
          <w:lang w:val="pl-PL"/>
        </w:rPr>
      </w:pPr>
    </w:p>
    <w:p w14:paraId="688A3C01" w14:textId="77777777" w:rsidR="00424A0D" w:rsidRDefault="00424A0D"/>
    <w:p w14:paraId="7035E5F9" w14:textId="77777777" w:rsidR="00424A0D" w:rsidRDefault="00424A0D"/>
    <w:p w14:paraId="5EC47D3D" w14:textId="77777777" w:rsidR="00424A0D" w:rsidRDefault="00424A0D"/>
    <w:p w14:paraId="330569B3" w14:textId="77777777" w:rsidR="00424A0D" w:rsidRDefault="00424A0D"/>
    <w:p w14:paraId="71B4B803" w14:textId="77777777" w:rsidR="00424A0D" w:rsidRDefault="00424A0D"/>
    <w:p w14:paraId="3D044FF0" w14:textId="77777777" w:rsidR="00424A0D" w:rsidRDefault="00424A0D"/>
    <w:p w14:paraId="697B85F9" w14:textId="77777777" w:rsidR="00424A0D" w:rsidRDefault="00424A0D"/>
    <w:p w14:paraId="42CF8EDA" w14:textId="77777777" w:rsidR="00424A0D" w:rsidRDefault="00424A0D"/>
    <w:p w14:paraId="2FA82287" w14:textId="77777777" w:rsidR="00424A0D" w:rsidRDefault="00424A0D"/>
    <w:p w14:paraId="48FFC902" w14:textId="77777777" w:rsidR="00424A0D" w:rsidRDefault="00424A0D" w:rsidP="00424A0D">
      <w:pPr>
        <w:pStyle w:val="Nagwek1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4395"/>
        <w:gridCol w:w="1700"/>
        <w:gridCol w:w="2126"/>
      </w:tblGrid>
      <w:tr w:rsidR="00424A0D" w:rsidRPr="00800933" w14:paraId="34FD0BB9" w14:textId="77777777" w:rsidTr="00E50A57">
        <w:trPr>
          <w:trHeight w:hRule="exact" w:val="8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17CF1F0E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0933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80093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FE720F1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BAFB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Zastosowanie technik chirurgicznych oraz terapii podciśnieniowej (VAC) w leczeniu olbrzymiej odleżyny IV stopnia okolicy krzyżowo-</w:t>
            </w:r>
            <w:proofErr w:type="spellStart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guzicznej</w:t>
            </w:r>
            <w:proofErr w:type="spellEnd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</w:tr>
      <w:tr w:rsidR="00424A0D" w:rsidRPr="00800933" w14:paraId="3CD86004" w14:textId="77777777" w:rsidTr="00E50A57">
        <w:trPr>
          <w:trHeight w:hRule="exact" w:val="6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6AB77832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F4A7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Maciej Lewandowski, </w:t>
            </w:r>
            <w:proofErr w:type="spellStart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Ł.Władyszewski</w:t>
            </w:r>
            <w:proofErr w:type="spellEnd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, I. Piotrowska, K. Słowińska, J. Wróbel, K. Pawlik-Pajewska, P. Wolak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, Kielce</w:t>
            </w:r>
          </w:p>
        </w:tc>
      </w:tr>
      <w:tr w:rsidR="00424A0D" w:rsidRPr="00800933" w14:paraId="4FAF1621" w14:textId="77777777" w:rsidTr="00E50A57">
        <w:trPr>
          <w:trHeight w:hRule="exact" w:val="70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53E85FE1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14B32032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F65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chirurgia.dzieciecy@wszzkielce.pl</w:t>
            </w:r>
          </w:p>
        </w:tc>
      </w:tr>
      <w:tr w:rsidR="00424A0D" w:rsidRPr="00800933" w14:paraId="17A984EC" w14:textId="77777777" w:rsidTr="00E50A57">
        <w:trPr>
          <w:trHeight w:hRule="exact" w:val="10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0AF0D1EC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53B20DB8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70C53484" w14:textId="77777777" w:rsidR="00424A0D" w:rsidRPr="00800933" w:rsidRDefault="00424A0D" w:rsidP="00E50A57">
            <w:pPr>
              <w:widowControl w:val="0"/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A2A3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783CA1" w14:textId="77777777" w:rsidR="00424A0D" w:rsidRPr="00800933" w:rsidRDefault="00424A0D" w:rsidP="00E50A57">
            <w:pPr>
              <w:pStyle w:val="Nagwek2"/>
              <w:widowControl w:val="0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80093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5FBAB82A" w14:textId="77777777" w:rsidR="00424A0D" w:rsidRPr="00800933" w:rsidRDefault="00424A0D" w:rsidP="00E50A57">
            <w:pPr>
              <w:pStyle w:val="Nagwek2"/>
              <w:widowControl w:val="0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800933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19380EA2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B7F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</w:tr>
      <w:tr w:rsidR="00424A0D" w:rsidRPr="00800933" w14:paraId="6186C941" w14:textId="77777777" w:rsidTr="00E50A57">
        <w:trPr>
          <w:trHeight w:hRule="exact" w:val="50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5D5D0489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DB74" w14:textId="77777777" w:rsidR="00424A0D" w:rsidRPr="00800933" w:rsidRDefault="00424A0D" w:rsidP="00E50A57">
            <w:pPr>
              <w:widowControl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Plakat przedstawia przypadek 16 – letniego pacjenta przyjętego do Kliniki Chirurgii Dziecięcej, Urologii i Traumatologii w Kielcach z powodu olbrzymiej odleżyny obejmującej okolicę krzyżowo </w:t>
            </w:r>
            <w:proofErr w:type="spellStart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guziczną</w:t>
            </w:r>
            <w:proofErr w:type="spellEnd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pośladki.  Pacjent z niedowładem wiotkim kończyn dolnych w przebiegu zespołu wad wrodzonych z zespołem Pierre Robin (przepuklina </w:t>
            </w:r>
            <w:proofErr w:type="spellStart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>oponowo-rdzeniowa</w:t>
            </w:r>
            <w:proofErr w:type="spellEnd"/>
            <w:r w:rsidRPr="0080093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okolicy lędźwiowo-krzyżowej, wodogłowie, rozszczep podniebienia). Na plakacie przedstawiono poszczególne etapy leczenia, zastosowane techniki oczyszczania rany i jej chirurgicznej plastyki a także gojenie przy pomocy terapii podciśnieniowej. </w:t>
            </w:r>
          </w:p>
        </w:tc>
      </w:tr>
    </w:tbl>
    <w:p w14:paraId="0AE3B3D5" w14:textId="77777777" w:rsidR="00424A0D" w:rsidRDefault="00424A0D" w:rsidP="00424A0D">
      <w:pPr>
        <w:rPr>
          <w:lang w:val="pl-PL"/>
        </w:rPr>
      </w:pPr>
    </w:p>
    <w:p w14:paraId="60416D02" w14:textId="77777777" w:rsidR="00424A0D" w:rsidRDefault="00424A0D">
      <w:bookmarkStart w:id="1" w:name="_GoBack"/>
      <w:bookmarkEnd w:id="1"/>
    </w:p>
    <w:sectPr w:rsidR="00424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E877" w14:textId="77777777" w:rsidR="00C86BDD" w:rsidRDefault="00C86BDD">
      <w:r>
        <w:separator/>
      </w:r>
    </w:p>
  </w:endnote>
  <w:endnote w:type="continuationSeparator" w:id="0">
    <w:p w14:paraId="2597E62E" w14:textId="77777777" w:rsidR="00C86BDD" w:rsidRDefault="00C8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604E8" w14:textId="77777777" w:rsidR="00AE3954" w:rsidRDefault="00AE3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E6FC0" w14:textId="77777777" w:rsidR="00AE3954" w:rsidRDefault="00AE3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20"/>
        <w:szCs w:val="20"/>
      </w:rPr>
    </w:pPr>
  </w:p>
  <w:p w14:paraId="4AB1EDCB" w14:textId="77777777" w:rsidR="00AE3954" w:rsidRDefault="00424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18"/>
        <w:szCs w:val="18"/>
      </w:rPr>
    </w:pPr>
    <w:proofErr w:type="spellStart"/>
    <w:r>
      <w:rPr>
        <w:rFonts w:eastAsia="Arial" w:cs="Arial"/>
        <w:b/>
        <w:color w:val="000000"/>
        <w:sz w:val="18"/>
        <w:szCs w:val="18"/>
      </w:rPr>
      <w:t>Streszczenia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pracy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należy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zgłaszać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</w:p>
  <w:p w14:paraId="26FC64CE" w14:textId="77777777" w:rsidR="00AE3954" w:rsidRDefault="00424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18"/>
        <w:szCs w:val="18"/>
      </w:rPr>
    </w:pPr>
    <w:r>
      <w:rPr>
        <w:rFonts w:eastAsia="Arial" w:cs="Arial"/>
        <w:b/>
        <w:color w:val="000000"/>
        <w:sz w:val="18"/>
        <w:szCs w:val="18"/>
      </w:rPr>
      <w:t xml:space="preserve">do </w:t>
    </w:r>
    <w:proofErr w:type="spellStart"/>
    <w:r>
      <w:rPr>
        <w:rFonts w:eastAsia="Arial" w:cs="Arial"/>
        <w:b/>
        <w:color w:val="000000"/>
        <w:sz w:val="18"/>
        <w:szCs w:val="18"/>
      </w:rPr>
      <w:t>dnia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 16.11.2024 </w:t>
    </w:r>
    <w:proofErr w:type="spellStart"/>
    <w:r>
      <w:rPr>
        <w:rFonts w:eastAsia="Arial" w:cs="Arial"/>
        <w:b/>
        <w:color w:val="000000"/>
        <w:sz w:val="18"/>
        <w:szCs w:val="18"/>
      </w:rPr>
      <w:t>na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adres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e-mail: </w:t>
    </w:r>
    <w:hyperlink r:id="rId1">
      <w:r w:rsidR="00AE3954">
        <w:rPr>
          <w:rFonts w:eastAsia="Arial" w:cs="Arial"/>
          <w:b/>
          <w:color w:val="0000FF"/>
          <w:sz w:val="18"/>
          <w:szCs w:val="18"/>
          <w:u w:val="single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71B7" w14:textId="77777777" w:rsidR="00AE3954" w:rsidRDefault="00AE3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20"/>
        <w:szCs w:val="20"/>
      </w:rPr>
    </w:pPr>
  </w:p>
  <w:p w14:paraId="14E94A55" w14:textId="77777777" w:rsidR="00AE3954" w:rsidRDefault="00424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18"/>
        <w:szCs w:val="18"/>
      </w:rPr>
    </w:pPr>
    <w:proofErr w:type="spellStart"/>
    <w:r>
      <w:rPr>
        <w:rFonts w:eastAsia="Arial" w:cs="Arial"/>
        <w:b/>
        <w:color w:val="000000"/>
        <w:sz w:val="18"/>
        <w:szCs w:val="18"/>
      </w:rPr>
      <w:t>Streszczenia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pracy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należy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zgłaszać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</w:p>
  <w:p w14:paraId="54D551FB" w14:textId="77777777" w:rsidR="00AE3954" w:rsidRDefault="00424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b/>
        <w:color w:val="000000"/>
        <w:sz w:val="18"/>
        <w:szCs w:val="18"/>
      </w:rPr>
    </w:pPr>
    <w:r>
      <w:rPr>
        <w:rFonts w:eastAsia="Arial" w:cs="Arial"/>
        <w:b/>
        <w:color w:val="000000"/>
        <w:sz w:val="18"/>
        <w:szCs w:val="18"/>
      </w:rPr>
      <w:t xml:space="preserve">do </w:t>
    </w:r>
    <w:proofErr w:type="spellStart"/>
    <w:r>
      <w:rPr>
        <w:rFonts w:eastAsia="Arial" w:cs="Arial"/>
        <w:b/>
        <w:color w:val="000000"/>
        <w:sz w:val="18"/>
        <w:szCs w:val="18"/>
      </w:rPr>
      <w:t>dnia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 16.11.2024 </w:t>
    </w:r>
    <w:proofErr w:type="spellStart"/>
    <w:r>
      <w:rPr>
        <w:rFonts w:eastAsia="Arial" w:cs="Arial"/>
        <w:b/>
        <w:color w:val="000000"/>
        <w:sz w:val="18"/>
        <w:szCs w:val="18"/>
      </w:rPr>
      <w:t>na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</w:t>
    </w:r>
    <w:proofErr w:type="spellStart"/>
    <w:r>
      <w:rPr>
        <w:rFonts w:eastAsia="Arial" w:cs="Arial"/>
        <w:b/>
        <w:color w:val="000000"/>
        <w:sz w:val="18"/>
        <w:szCs w:val="18"/>
      </w:rPr>
      <w:t>adres</w:t>
    </w:r>
    <w:proofErr w:type="spellEnd"/>
    <w:r>
      <w:rPr>
        <w:rFonts w:eastAsia="Arial" w:cs="Arial"/>
        <w:b/>
        <w:color w:val="000000"/>
        <w:sz w:val="18"/>
        <w:szCs w:val="18"/>
      </w:rPr>
      <w:t xml:space="preserve"> e-mail: </w:t>
    </w:r>
    <w:hyperlink r:id="rId1">
      <w:r w:rsidR="00AE3954">
        <w:rPr>
          <w:rFonts w:eastAsia="Arial" w:cs="Arial"/>
          <w:b/>
          <w:color w:val="0000FF"/>
          <w:sz w:val="18"/>
          <w:szCs w:val="18"/>
          <w:u w:val="single"/>
        </w:rPr>
        <w:t>p.kalicinski@ipczd.pl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5FE6" w14:textId="77777777" w:rsidR="00C86BDD" w:rsidRDefault="00C86BDD">
      <w:r>
        <w:separator/>
      </w:r>
    </w:p>
  </w:footnote>
  <w:footnote w:type="continuationSeparator" w:id="0">
    <w:p w14:paraId="6D1EE4B4" w14:textId="77777777" w:rsidR="00C86BDD" w:rsidRDefault="00C86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FAFF2" w14:textId="77777777" w:rsidR="00AE3954" w:rsidRDefault="00AE3954">
    <w:pPr>
      <w:pBdr>
        <w:top w:val="nil"/>
        <w:left w:val="nil"/>
        <w:bottom w:val="nil"/>
        <w:right w:val="nil"/>
        <w:between w:val="nil"/>
      </w:pBdr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FF94" w14:textId="77777777" w:rsidR="00AE3954" w:rsidRDefault="00424A0D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mallCaps/>
        <w:sz w:val="20"/>
        <w:szCs w:val="20"/>
      </w:rPr>
      <w:t>XXI  SYMPOZJUM “INTERDYSCYPLINARNE PROBLEMY CHIRURGII DZIECIĘCEJ</w:t>
    </w:r>
    <w:r>
      <w:rPr>
        <w:rFonts w:ascii="Calibri" w:eastAsia="Calibri" w:hAnsi="Calibri" w:cs="Calibri"/>
        <w:sz w:val="20"/>
        <w:szCs w:val="20"/>
      </w:rPr>
      <w:t xml:space="preserve">” </w:t>
    </w:r>
    <w:proofErr w:type="spellStart"/>
    <w:r>
      <w:rPr>
        <w:rFonts w:ascii="Calibri" w:eastAsia="Calibri" w:hAnsi="Calibri" w:cs="Calibri"/>
        <w:sz w:val="20"/>
        <w:szCs w:val="20"/>
      </w:rPr>
      <w:t>i</w:t>
    </w:r>
    <w:proofErr w:type="spellEnd"/>
  </w:p>
  <w:p w14:paraId="401C9194" w14:textId="77777777" w:rsidR="00AE3954" w:rsidRDefault="00424A0D">
    <w:pPr>
      <w:jc w:val="center"/>
      <w:rPr>
        <w:rFonts w:ascii="Calibri" w:eastAsia="Calibri" w:hAnsi="Calibri" w:cs="Calibri"/>
        <w:smallCaps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XI KONFERENCJA  NAUKOWO-SZKOLENIOWA DLA MŁODYCH LEKARZY SPECJALIZUJĄCYCH SIĘ W CHIRURGII DZIECIĘCEJ  6-7 </w:t>
    </w:r>
    <w:r>
      <w:rPr>
        <w:rFonts w:ascii="Calibri" w:eastAsia="Calibri" w:hAnsi="Calibri" w:cs="Calibri"/>
        <w:smallCaps/>
        <w:sz w:val="20"/>
        <w:szCs w:val="20"/>
      </w:rPr>
      <w:t>GRUDNIA 2024</w:t>
    </w:r>
  </w:p>
  <w:p w14:paraId="2309B92D" w14:textId="77777777" w:rsidR="00AE3954" w:rsidRDefault="00AE395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DE394" w14:textId="77777777" w:rsidR="00AE3954" w:rsidRDefault="00424A0D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mallCaps/>
        <w:sz w:val="20"/>
        <w:szCs w:val="20"/>
      </w:rPr>
      <w:t>XXI  SYMPOZJUM “INTERDYSCYPLINARNE PROBLEMY CHIRURGII DZIECIĘCEJ</w:t>
    </w:r>
    <w:r>
      <w:rPr>
        <w:rFonts w:ascii="Calibri" w:eastAsia="Calibri" w:hAnsi="Calibri" w:cs="Calibri"/>
        <w:sz w:val="20"/>
        <w:szCs w:val="20"/>
      </w:rPr>
      <w:t xml:space="preserve">” </w:t>
    </w:r>
    <w:proofErr w:type="spellStart"/>
    <w:r>
      <w:rPr>
        <w:rFonts w:ascii="Calibri" w:eastAsia="Calibri" w:hAnsi="Calibri" w:cs="Calibri"/>
        <w:sz w:val="20"/>
        <w:szCs w:val="20"/>
      </w:rPr>
      <w:t>i</w:t>
    </w:r>
    <w:proofErr w:type="spellEnd"/>
  </w:p>
  <w:p w14:paraId="5260455C" w14:textId="77777777" w:rsidR="00AE3954" w:rsidRDefault="00424A0D">
    <w:pPr>
      <w:jc w:val="center"/>
      <w:rPr>
        <w:rFonts w:ascii="Calibri" w:eastAsia="Calibri" w:hAnsi="Calibri" w:cs="Calibri"/>
        <w:smallCaps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XI KONFERENCJA  NAUKOWO-SZKOLENIOWA DLA MŁODYCH LEKARZY SPECJALIZUJĄCYCH SIĘ W C</w:t>
    </w:r>
    <w:r>
      <w:rPr>
        <w:rFonts w:ascii="Calibri" w:eastAsia="Calibri" w:hAnsi="Calibri" w:cs="Calibri"/>
        <w:sz w:val="20"/>
        <w:szCs w:val="20"/>
      </w:rPr>
      <w:t xml:space="preserve">HIRURGII DZIECIĘCEJ  6-7 </w:t>
    </w:r>
    <w:r>
      <w:rPr>
        <w:rFonts w:ascii="Calibri" w:eastAsia="Calibri" w:hAnsi="Calibri" w:cs="Calibri"/>
        <w:smallCaps/>
        <w:sz w:val="20"/>
        <w:szCs w:val="20"/>
      </w:rPr>
      <w:t>GRUDNIA 2024</w:t>
    </w:r>
  </w:p>
  <w:p w14:paraId="5251B4C9" w14:textId="77777777" w:rsidR="00AE3954" w:rsidRDefault="00AE395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4"/>
    <w:rsid w:val="001D6209"/>
    <w:rsid w:val="00424A0D"/>
    <w:rsid w:val="008472BC"/>
    <w:rsid w:val="00887BD9"/>
    <w:rsid w:val="0097118E"/>
    <w:rsid w:val="00AE3954"/>
    <w:rsid w:val="00C86BDD"/>
    <w:rsid w:val="00D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DA00C1"/>
    <w:rPr>
      <w:rFonts w:ascii="Arial" w:hAnsi="Arial"/>
      <w:lang w:val="en-GB" w:eastAsia="en-US"/>
    </w:rPr>
  </w:style>
  <w:style w:type="character" w:customStyle="1" w:styleId="Znakiprzypiswkocowych">
    <w:name w:val="Znaki przypisów końcowych"/>
    <w:qFormat/>
    <w:rsid w:val="00DA00C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nk">
    <w:name w:val="Link"/>
    <w:rsid w:val="00424A0D"/>
    <w:rPr>
      <w:outline w:val="0"/>
      <w:color w:val="0000FF"/>
      <w:u w:val="single" w:color="0000FF"/>
    </w:rPr>
  </w:style>
  <w:style w:type="paragraph" w:customStyle="1" w:styleId="Default">
    <w:name w:val="Default"/>
    <w:rsid w:val="00424A0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 w:cs="Times New Roman"/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DA00C1"/>
    <w:rPr>
      <w:rFonts w:ascii="Arial" w:hAnsi="Arial"/>
      <w:lang w:val="en-GB" w:eastAsia="en-US"/>
    </w:rPr>
  </w:style>
  <w:style w:type="character" w:customStyle="1" w:styleId="Znakiprzypiswkocowych">
    <w:name w:val="Znaki przypisów końcowych"/>
    <w:qFormat/>
    <w:rsid w:val="00DA00C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nk">
    <w:name w:val="Link"/>
    <w:rsid w:val="00424A0D"/>
    <w:rPr>
      <w:outline w:val="0"/>
      <w:color w:val="0000FF"/>
      <w:u w:val="single" w:color="0000FF"/>
    </w:rPr>
  </w:style>
  <w:style w:type="paragraph" w:customStyle="1" w:styleId="Default">
    <w:name w:val="Default"/>
    <w:rsid w:val="00424A0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limeczek.chrapusta@student.uj.ed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enka.poglod.u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jlknrl5R4SayFC5zfJW9qmqDQ==">CgMxLjAyCWlkLmdqZGd4czgAciExYmh1QXo3R090NXlUcVdLTW1la1VOdnFZVVA0eTFBYTE=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Wilson</dc:creator>
  <cp:lastModifiedBy>Przemysław Trzciński</cp:lastModifiedBy>
  <cp:revision>4</cp:revision>
  <dcterms:created xsi:type="dcterms:W3CDTF">2024-11-16T15:10:00Z</dcterms:created>
  <dcterms:modified xsi:type="dcterms:W3CDTF">2024-11-29T08:28:00Z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