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FD68C" w14:textId="77777777" w:rsidR="00002DE8" w:rsidRDefault="00002DE8">
      <w:pPr>
        <w:pStyle w:val="Nagwek1"/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394"/>
        <w:gridCol w:w="1701"/>
        <w:gridCol w:w="2126"/>
      </w:tblGrid>
      <w:tr w:rsidR="00002DE8" w:rsidRPr="009E189A" w14:paraId="6A8C2296" w14:textId="77777777" w:rsidTr="00784CC8">
        <w:trPr>
          <w:trHeight w:hRule="exact" w:val="486"/>
        </w:trPr>
        <w:tc>
          <w:tcPr>
            <w:tcW w:w="1418" w:type="dxa"/>
            <w:shd w:val="pct20" w:color="auto" w:fill="FFFFFF"/>
          </w:tcPr>
          <w:p w14:paraId="1896AAE7" w14:textId="77777777" w:rsidR="00002DE8" w:rsidRPr="009E189A" w:rsidRDefault="00002DE8" w:rsidP="005F018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E189A">
              <w:rPr>
                <w:rFonts w:ascii="Calibri" w:hAnsi="Calibri" w:cs="Calibri"/>
                <w:sz w:val="20"/>
                <w:szCs w:val="20"/>
              </w:rPr>
              <w:t>Tytuł</w:t>
            </w:r>
            <w:proofErr w:type="spellEnd"/>
            <w:r w:rsidR="00B77477" w:rsidRPr="009E189A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672724ED" w14:textId="77777777" w:rsidR="00002DE8" w:rsidRPr="009E189A" w:rsidRDefault="00002DE8" w:rsidP="005F01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14:paraId="63C07D19" w14:textId="6CD0EE10" w:rsidR="00002DE8" w:rsidRPr="009E189A" w:rsidRDefault="00784CC8" w:rsidP="009E189A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E189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Rola leczenia chirurgicznego w przewlekłym zapaleniu kości </w:t>
            </w:r>
            <w:r w:rsidR="00B4795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(PZK) </w:t>
            </w:r>
            <w:r w:rsidRPr="009E189A">
              <w:rPr>
                <w:rFonts w:ascii="Calibri" w:hAnsi="Calibri" w:cs="Calibri"/>
                <w:sz w:val="20"/>
                <w:szCs w:val="20"/>
                <w:lang w:val="pl-PL"/>
              </w:rPr>
              <w:t>u dzieci – doświadczenia własne</w:t>
            </w:r>
          </w:p>
        </w:tc>
      </w:tr>
      <w:tr w:rsidR="00002DE8" w:rsidRPr="009E189A" w14:paraId="0FE63D9E" w14:textId="77777777" w:rsidTr="00784CC8">
        <w:trPr>
          <w:trHeight w:hRule="exact" w:val="422"/>
        </w:trPr>
        <w:tc>
          <w:tcPr>
            <w:tcW w:w="1418" w:type="dxa"/>
            <w:shd w:val="pct20" w:color="auto" w:fill="FFFFFF"/>
          </w:tcPr>
          <w:p w14:paraId="1D17D406" w14:textId="77777777" w:rsidR="00002DE8" w:rsidRPr="009E189A" w:rsidRDefault="00002DE8" w:rsidP="005F018A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E189A">
              <w:rPr>
                <w:rFonts w:ascii="Calibri" w:hAnsi="Calibri" w:cs="Calibri"/>
                <w:sz w:val="20"/>
                <w:szCs w:val="20"/>
                <w:lang w:val="pl-PL"/>
              </w:rPr>
              <w:t>Autorzy</w:t>
            </w:r>
            <w:r w:rsidR="00B77477" w:rsidRPr="009E189A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  <w:r w:rsidRPr="009E189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8221" w:type="dxa"/>
            <w:gridSpan w:val="3"/>
          </w:tcPr>
          <w:p w14:paraId="362DA380" w14:textId="5AB30883" w:rsidR="00002DE8" w:rsidRPr="009E189A" w:rsidRDefault="00784CC8" w:rsidP="005F018A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E189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Katarzyna Lipa, Michał </w:t>
            </w:r>
            <w:proofErr w:type="spellStart"/>
            <w:r w:rsidRPr="009E189A">
              <w:rPr>
                <w:rFonts w:ascii="Calibri" w:hAnsi="Calibri" w:cs="Calibri"/>
                <w:sz w:val="20"/>
                <w:szCs w:val="20"/>
                <w:lang w:val="pl-PL"/>
              </w:rPr>
              <w:t>Tuchalski</w:t>
            </w:r>
            <w:proofErr w:type="spellEnd"/>
            <w:r w:rsidRPr="009E189A">
              <w:rPr>
                <w:rFonts w:ascii="Calibri" w:hAnsi="Calibri" w:cs="Calibri"/>
                <w:sz w:val="20"/>
                <w:szCs w:val="20"/>
                <w:lang w:val="pl-PL"/>
              </w:rPr>
              <w:t>, Krzysztof Dymek, Kacper Kroczek, Przemysław Gałązka</w:t>
            </w:r>
          </w:p>
        </w:tc>
      </w:tr>
      <w:tr w:rsidR="00002DE8" w:rsidRPr="009E189A" w14:paraId="64B6AC3D" w14:textId="77777777" w:rsidTr="00784CC8">
        <w:trPr>
          <w:trHeight w:hRule="exact" w:val="569"/>
        </w:trPr>
        <w:tc>
          <w:tcPr>
            <w:tcW w:w="1418" w:type="dxa"/>
            <w:shd w:val="pct20" w:color="auto" w:fill="FFFFFF"/>
          </w:tcPr>
          <w:p w14:paraId="0ED6A141" w14:textId="77777777" w:rsidR="00FA1B54" w:rsidRPr="009E189A" w:rsidRDefault="00002DE8" w:rsidP="005F018A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E189A">
              <w:rPr>
                <w:rFonts w:ascii="Calibri" w:hAnsi="Calibri" w:cs="Calibri"/>
                <w:sz w:val="20"/>
                <w:szCs w:val="20"/>
                <w:lang w:val="pl-PL"/>
              </w:rPr>
              <w:t>Ośrodek</w:t>
            </w:r>
            <w:r w:rsidR="00B77477" w:rsidRPr="009E189A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</w:p>
          <w:p w14:paraId="5AF4FFB2" w14:textId="77777777" w:rsidR="00002DE8" w:rsidRPr="009E189A" w:rsidRDefault="00FA1B54" w:rsidP="005F018A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E189A">
              <w:rPr>
                <w:rFonts w:ascii="Calibri" w:hAnsi="Calibri" w:cs="Calibri"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8221" w:type="dxa"/>
            <w:gridSpan w:val="3"/>
          </w:tcPr>
          <w:p w14:paraId="1351257A" w14:textId="77777777" w:rsidR="00784CC8" w:rsidRPr="009E189A" w:rsidRDefault="00784CC8" w:rsidP="00784CC8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E189A">
              <w:rPr>
                <w:rFonts w:ascii="Calibri" w:hAnsi="Calibri" w:cs="Calibri"/>
                <w:sz w:val="20"/>
                <w:szCs w:val="20"/>
                <w:lang w:val="pl-PL"/>
              </w:rPr>
              <w:t>Klinika Chirurgii Dziecięcej; Szpital Uniwersytecki nr 1 im. Jurasza w Bydgoszczy</w:t>
            </w:r>
          </w:p>
          <w:p w14:paraId="16C2C5B8" w14:textId="479AFD7E" w:rsidR="00002DE8" w:rsidRDefault="006061D8" w:rsidP="00784CC8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hyperlink r:id="rId7" w:history="1">
              <w:r w:rsidR="009E189A" w:rsidRPr="002719B5">
                <w:rPr>
                  <w:rStyle w:val="Hipercze"/>
                  <w:rFonts w:ascii="Calibri" w:hAnsi="Calibri" w:cs="Calibri"/>
                  <w:sz w:val="20"/>
                  <w:szCs w:val="20"/>
                  <w:lang w:val="pl-PL"/>
                </w:rPr>
                <w:t>kasialipa96@gmail.com</w:t>
              </w:r>
            </w:hyperlink>
          </w:p>
          <w:p w14:paraId="04023BA4" w14:textId="2B178047" w:rsidR="009E189A" w:rsidRPr="009E189A" w:rsidRDefault="009E189A" w:rsidP="00784CC8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002DE8" w:rsidRPr="009E189A" w14:paraId="41742A24" w14:textId="77777777" w:rsidTr="009E189A">
        <w:trPr>
          <w:trHeight w:hRule="exact" w:val="987"/>
        </w:trPr>
        <w:tc>
          <w:tcPr>
            <w:tcW w:w="1418" w:type="dxa"/>
            <w:shd w:val="pct20" w:color="auto" w:fill="FFFFFF"/>
          </w:tcPr>
          <w:p w14:paraId="4EFA79B3" w14:textId="772C2A66" w:rsidR="003F7795" w:rsidRPr="009E189A" w:rsidRDefault="00A433EC" w:rsidP="005F018A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E189A">
              <w:rPr>
                <w:rFonts w:ascii="Calibri" w:hAnsi="Calibri" w:cs="Calibri"/>
                <w:sz w:val="20"/>
                <w:szCs w:val="20"/>
                <w:lang w:val="pl-PL"/>
              </w:rPr>
              <w:t>XX</w:t>
            </w:r>
            <w:r w:rsidR="00DD5DB7" w:rsidRPr="009E189A">
              <w:rPr>
                <w:rFonts w:ascii="Calibri" w:hAnsi="Calibri" w:cs="Calibri"/>
                <w:sz w:val="20"/>
                <w:szCs w:val="20"/>
                <w:lang w:val="pl-PL"/>
              </w:rPr>
              <w:t>I</w:t>
            </w:r>
            <w:r w:rsidRPr="009E189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S</w:t>
            </w:r>
            <w:r w:rsidR="00FA1B54" w:rsidRPr="009E189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ympozjum </w:t>
            </w:r>
            <w:r w:rsidR="001A5CFF" w:rsidRPr="009E189A">
              <w:rPr>
                <w:rFonts w:ascii="Calibri" w:hAnsi="Calibri" w:cs="Calibri"/>
                <w:sz w:val="20"/>
                <w:szCs w:val="20"/>
                <w:lang w:val="pl-PL"/>
              </w:rPr>
              <w:t>Interdyscyplinarne</w:t>
            </w:r>
            <w:r w:rsidR="005C560A" w:rsidRPr="009E189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</w:p>
          <w:p w14:paraId="7A1BA430" w14:textId="15A2F483" w:rsidR="00FA1B54" w:rsidRPr="009E189A" w:rsidRDefault="00DD5DB7" w:rsidP="005F018A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E189A">
              <w:rPr>
                <w:rFonts w:ascii="Calibri" w:hAnsi="Calibri" w:cs="Calibri"/>
                <w:sz w:val="20"/>
                <w:szCs w:val="20"/>
                <w:lang w:val="pl-PL"/>
              </w:rPr>
              <w:t>6</w:t>
            </w:r>
            <w:r w:rsidR="00904769" w:rsidRPr="009E189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 grud</w:t>
            </w:r>
            <w:r w:rsidR="00C000B8" w:rsidRPr="009E189A">
              <w:rPr>
                <w:rFonts w:ascii="Calibri" w:hAnsi="Calibri" w:cs="Calibri"/>
                <w:sz w:val="20"/>
                <w:szCs w:val="20"/>
                <w:lang w:val="pl-PL"/>
              </w:rPr>
              <w:t>nia</w:t>
            </w:r>
            <w:r w:rsidR="00904769" w:rsidRPr="009E189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20</w:t>
            </w:r>
            <w:r w:rsidR="00632D77" w:rsidRPr="009E189A">
              <w:rPr>
                <w:rFonts w:ascii="Calibri" w:hAnsi="Calibri" w:cs="Calibri"/>
                <w:sz w:val="20"/>
                <w:szCs w:val="20"/>
                <w:lang w:val="pl-PL"/>
              </w:rPr>
              <w:t>2</w:t>
            </w:r>
            <w:r w:rsidRPr="009E189A">
              <w:rPr>
                <w:rFonts w:ascii="Calibri" w:hAnsi="Calibri" w:cs="Calibri"/>
                <w:sz w:val="20"/>
                <w:szCs w:val="20"/>
                <w:lang w:val="pl-PL"/>
              </w:rPr>
              <w:t>4</w:t>
            </w:r>
          </w:p>
          <w:p w14:paraId="1176AF50" w14:textId="77777777" w:rsidR="00FA1B54" w:rsidRPr="009E189A" w:rsidRDefault="00FA1B54" w:rsidP="005F018A">
            <w:pPr>
              <w:tabs>
                <w:tab w:val="left" w:pos="1365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E189A">
              <w:rPr>
                <w:rFonts w:ascii="Calibri" w:hAnsi="Calibri" w:cs="Calibri"/>
                <w:sz w:val="20"/>
                <w:szCs w:val="20"/>
                <w:lang w:val="pl-PL"/>
              </w:rPr>
              <w:t>doniesienie ustne</w:t>
            </w:r>
          </w:p>
        </w:tc>
        <w:tc>
          <w:tcPr>
            <w:tcW w:w="4394" w:type="dxa"/>
          </w:tcPr>
          <w:p w14:paraId="11305CDE" w14:textId="77777777" w:rsidR="00002DE8" w:rsidRPr="009E189A" w:rsidRDefault="00002DE8" w:rsidP="005F018A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shd w:val="clear" w:color="auto" w:fill="C0C0C0"/>
          </w:tcPr>
          <w:p w14:paraId="07676B19" w14:textId="4BEB685C" w:rsidR="003F7795" w:rsidRPr="009E189A" w:rsidRDefault="00A433EC" w:rsidP="005F018A">
            <w:pPr>
              <w:pStyle w:val="Nagwek2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</w:pPr>
            <w:r w:rsidRPr="009E189A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  <w:t>X</w:t>
            </w:r>
            <w:r w:rsidR="00DD5DB7" w:rsidRPr="009E189A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  <w:t>I</w:t>
            </w:r>
            <w:r w:rsidR="00FA1B54" w:rsidRPr="009E189A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  <w:t xml:space="preserve"> </w:t>
            </w:r>
            <w:r w:rsidR="000F2988" w:rsidRPr="009E189A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  <w:t>Konferencja</w:t>
            </w:r>
            <w:r w:rsidR="00FA1B54" w:rsidRPr="009E189A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  <w:t xml:space="preserve"> Naukowo-Szkoleniowe</w:t>
            </w:r>
            <w:r w:rsidR="003F7795" w:rsidRPr="009E189A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  <w:t xml:space="preserve"> </w:t>
            </w:r>
          </w:p>
          <w:p w14:paraId="25844545" w14:textId="7E755ADF" w:rsidR="00002DE8" w:rsidRPr="009E189A" w:rsidRDefault="00DD5DB7" w:rsidP="005F018A">
            <w:pPr>
              <w:pStyle w:val="Nagwek2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</w:pPr>
            <w:r w:rsidRPr="009E189A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  <w:t>7</w:t>
            </w:r>
            <w:r w:rsidR="003F7795" w:rsidRPr="009E189A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  <w:t xml:space="preserve"> grud</w:t>
            </w:r>
            <w:r w:rsidR="00C000B8" w:rsidRPr="009E189A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  <w:t>nia</w:t>
            </w:r>
            <w:r w:rsidR="003F7795" w:rsidRPr="009E189A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  <w:t xml:space="preserve"> 20</w:t>
            </w:r>
            <w:r w:rsidR="00632D77" w:rsidRPr="009E189A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  <w:t>2</w:t>
            </w:r>
            <w:r w:rsidRPr="009E189A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  <w:t>4</w:t>
            </w:r>
          </w:p>
          <w:p w14:paraId="5E6241D4" w14:textId="77777777" w:rsidR="00FA1B54" w:rsidRPr="009E189A" w:rsidRDefault="00FA1B54" w:rsidP="005F018A">
            <w:pPr>
              <w:rPr>
                <w:rFonts w:ascii="Calibri" w:hAnsi="Calibri" w:cs="Calibri"/>
                <w:sz w:val="20"/>
                <w:szCs w:val="20"/>
                <w:highlight w:val="lightGray"/>
                <w:lang w:val="pl-PL"/>
              </w:rPr>
            </w:pPr>
            <w:r w:rsidRPr="009E189A">
              <w:rPr>
                <w:rFonts w:ascii="Calibri" w:hAnsi="Calibri" w:cs="Calibri"/>
                <w:sz w:val="20"/>
                <w:szCs w:val="20"/>
                <w:highlight w:val="lightGray"/>
                <w:lang w:val="pl-PL"/>
              </w:rPr>
              <w:t>doniesienie ustne</w:t>
            </w:r>
          </w:p>
        </w:tc>
        <w:tc>
          <w:tcPr>
            <w:tcW w:w="2126" w:type="dxa"/>
          </w:tcPr>
          <w:p w14:paraId="7A845314" w14:textId="3D618F59" w:rsidR="00002DE8" w:rsidRPr="009E189A" w:rsidRDefault="007F7521" w:rsidP="005F018A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</w:t>
            </w:r>
          </w:p>
        </w:tc>
      </w:tr>
      <w:tr w:rsidR="00002DE8" w:rsidRPr="009E189A" w14:paraId="520315E1" w14:textId="77777777" w:rsidTr="00404CB7">
        <w:trPr>
          <w:trHeight w:hRule="exact" w:val="10106"/>
        </w:trPr>
        <w:tc>
          <w:tcPr>
            <w:tcW w:w="1418" w:type="dxa"/>
            <w:shd w:val="pct20" w:color="auto" w:fill="FFFFFF"/>
          </w:tcPr>
          <w:p w14:paraId="208174EE" w14:textId="77777777" w:rsidR="00002DE8" w:rsidRPr="009E189A" w:rsidRDefault="00002DE8" w:rsidP="005F018A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E189A">
              <w:rPr>
                <w:rFonts w:ascii="Calibri" w:hAnsi="Calibri" w:cs="Calibri"/>
                <w:sz w:val="20"/>
                <w:szCs w:val="20"/>
                <w:lang w:val="pl-PL"/>
              </w:rPr>
              <w:t>Streszczenie</w:t>
            </w:r>
            <w:r w:rsidR="00B77477" w:rsidRPr="009E189A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  <w:r w:rsidRPr="009E189A"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</w:p>
        </w:tc>
        <w:tc>
          <w:tcPr>
            <w:tcW w:w="8221" w:type="dxa"/>
            <w:gridSpan w:val="3"/>
          </w:tcPr>
          <w:p w14:paraId="2D772CD7" w14:textId="04BAAF85" w:rsidR="00122031" w:rsidRPr="00D56891" w:rsidRDefault="009E189A" w:rsidP="0041432C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5689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Celem </w:t>
            </w:r>
            <w:r w:rsidR="00122031" w:rsidRPr="00D5689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pracy jest przedstawienie własnych wyników leczenia PZK z zastosowaniem chirurgicznego oczyszczenia ogniska zapalenia oraz z jednoczesną implantacją materiału wypełniającego wysyconego antybiotykiem. </w:t>
            </w:r>
          </w:p>
          <w:p w14:paraId="2BB0FF45" w14:textId="2B705BB1" w:rsidR="00122031" w:rsidRPr="00D56891" w:rsidRDefault="00122031" w:rsidP="0041432C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56891"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  <w:t>Pacjent nr 1</w:t>
            </w:r>
            <w:r w:rsidRPr="00D5689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: Pacjentka, 13-letnia przyjęta z powodu przewlekłej rany stopy prawej powstałej na podłożu polineuropatii i zaburzeń czucia obwodowego. Od 2 lat leczona w innych ośrodkach. W wyniku urazu stwierdzono nawrót owrzodzenia. W MRI stopy opisano zmiany zapalne tkanek miękkich i kości w okolicy rany. Pacjentkę zakwalifikowano do chirurgicznego opracowania rany. Stwierdzono zniszczoną torebkę stawu </w:t>
            </w:r>
            <w:proofErr w:type="spellStart"/>
            <w:r w:rsidRPr="00D56891">
              <w:rPr>
                <w:rFonts w:ascii="Calibri" w:hAnsi="Calibri" w:cs="Calibri"/>
                <w:sz w:val="20"/>
                <w:szCs w:val="20"/>
                <w:lang w:val="pl-PL"/>
              </w:rPr>
              <w:t>śródstopno</w:t>
            </w:r>
            <w:proofErr w:type="spellEnd"/>
            <w:r w:rsidRPr="00D56891">
              <w:rPr>
                <w:rFonts w:ascii="Calibri" w:hAnsi="Calibri" w:cs="Calibri"/>
                <w:sz w:val="20"/>
                <w:szCs w:val="20"/>
                <w:lang w:val="pl-PL"/>
              </w:rPr>
              <w:t>-paliczkowego V i destrukcję dystalnej części V kości śródstopia przez proces zapalny. Z powodu</w:t>
            </w:r>
            <w:r w:rsidR="00C019C8" w:rsidRPr="00D56891">
              <w:rPr>
                <w:rFonts w:ascii="Calibri" w:hAnsi="Calibri" w:cs="Calibri"/>
                <w:sz w:val="20"/>
                <w:szCs w:val="20"/>
                <w:lang w:val="pl-PL"/>
              </w:rPr>
              <w:t>,</w:t>
            </w:r>
            <w:r w:rsidRPr="00D5689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utrzymującego się wysięku z rany oraz na podstawie badań obrazowych, pacjentkę ponownie zakwalifikowano do operacyjnego opracowania rany - usunięto </w:t>
            </w:r>
            <w:proofErr w:type="spellStart"/>
            <w:r w:rsidRPr="00D56891">
              <w:rPr>
                <w:rFonts w:ascii="Calibri" w:hAnsi="Calibri" w:cs="Calibri"/>
                <w:sz w:val="20"/>
                <w:szCs w:val="20"/>
                <w:lang w:val="pl-PL"/>
              </w:rPr>
              <w:t>zdewitalizowane</w:t>
            </w:r>
            <w:proofErr w:type="spellEnd"/>
            <w:r w:rsidRPr="00D5689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fragmenty tkanki kostnej oraz wykonano </w:t>
            </w:r>
            <w:proofErr w:type="spellStart"/>
            <w:r w:rsidRPr="00D56891">
              <w:rPr>
                <w:rFonts w:ascii="Calibri" w:hAnsi="Calibri" w:cs="Calibri"/>
                <w:sz w:val="20"/>
                <w:szCs w:val="20"/>
                <w:lang w:val="pl-PL"/>
              </w:rPr>
              <w:t>atrodezę</w:t>
            </w:r>
            <w:proofErr w:type="spellEnd"/>
            <w:r w:rsidRPr="00D5689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stawu </w:t>
            </w:r>
            <w:proofErr w:type="spellStart"/>
            <w:r w:rsidRPr="00D56891">
              <w:rPr>
                <w:rFonts w:ascii="Calibri" w:hAnsi="Calibri" w:cs="Calibri"/>
                <w:sz w:val="20"/>
                <w:szCs w:val="20"/>
                <w:lang w:val="pl-PL"/>
              </w:rPr>
              <w:t>śródstopno</w:t>
            </w:r>
            <w:proofErr w:type="spellEnd"/>
            <w:r w:rsidRPr="00D5689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-paliczkowego V. Uzyskano poprawę miejscową ze zmniejszeniem wysięku. </w:t>
            </w:r>
            <w:r w:rsidR="009E189A" w:rsidRPr="00D56891">
              <w:rPr>
                <w:rFonts w:ascii="Calibri" w:hAnsi="Calibri" w:cs="Calibri"/>
                <w:sz w:val="20"/>
                <w:szCs w:val="20"/>
                <w:lang w:val="pl-PL"/>
              </w:rPr>
              <w:t>Z</w:t>
            </w:r>
            <w:r w:rsidRPr="00D56891">
              <w:rPr>
                <w:rFonts w:ascii="Calibri" w:hAnsi="Calibri" w:cs="Calibri"/>
                <w:sz w:val="20"/>
                <w:szCs w:val="20"/>
                <w:lang w:val="pl-PL"/>
              </w:rPr>
              <w:t>aplanowano kontynuacje leczenia sekwencyjnego rany i zapalenia kości w warunkach ambulatoryjnych</w:t>
            </w:r>
            <w:r w:rsidR="00D5689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, ale w </w:t>
            </w:r>
            <w:r w:rsidRPr="00D56891">
              <w:rPr>
                <w:rFonts w:ascii="Calibri" w:hAnsi="Calibri" w:cs="Calibri"/>
                <w:sz w:val="20"/>
                <w:szCs w:val="20"/>
                <w:lang w:val="pl-PL"/>
              </w:rPr>
              <w:t>dalszym przebiegu</w:t>
            </w:r>
            <w:r w:rsidR="00D5689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kilkukrotnie obserwowano nawrót owrzodzenia. </w:t>
            </w:r>
            <w:r w:rsidR="00404CB7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Ostatecznie </w:t>
            </w:r>
            <w:r w:rsidRPr="00D56891">
              <w:rPr>
                <w:rFonts w:ascii="Calibri" w:hAnsi="Calibri" w:cs="Calibri"/>
                <w:sz w:val="20"/>
                <w:szCs w:val="20"/>
                <w:lang w:val="pl-PL"/>
              </w:rPr>
              <w:t>pacjentkę zakwalifikowano do leczenia operacyjnego. Usunięto staw rzekomy, w miejsce ubytku kostnego implantowano materiał wypełniający (</w:t>
            </w:r>
            <w:proofErr w:type="spellStart"/>
            <w:r w:rsidRPr="00D56891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>Stimulan</w:t>
            </w:r>
            <w:proofErr w:type="spellEnd"/>
            <w:r w:rsidRPr="00D56891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D56891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>Rapid</w:t>
            </w:r>
            <w:proofErr w:type="spellEnd"/>
            <w:r w:rsidRPr="00D56891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 xml:space="preserve"> Cure, </w:t>
            </w:r>
            <w:proofErr w:type="spellStart"/>
            <w:r w:rsidRPr="00D56891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>Biocomposites</w:t>
            </w:r>
            <w:proofErr w:type="spellEnd"/>
            <w:r w:rsidRPr="00D5689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) wysycony antybiotykami (wankomycyną i </w:t>
            </w:r>
            <w:proofErr w:type="spellStart"/>
            <w:r w:rsidRPr="00D56891">
              <w:rPr>
                <w:rFonts w:ascii="Calibri" w:hAnsi="Calibri" w:cs="Calibri"/>
                <w:sz w:val="20"/>
                <w:szCs w:val="20"/>
                <w:lang w:val="pl-PL"/>
              </w:rPr>
              <w:t>gentamycyną</w:t>
            </w:r>
            <w:proofErr w:type="spellEnd"/>
            <w:r w:rsidRPr="00D56891">
              <w:rPr>
                <w:rFonts w:ascii="Calibri" w:hAnsi="Calibri" w:cs="Calibri"/>
                <w:sz w:val="20"/>
                <w:szCs w:val="20"/>
                <w:lang w:val="pl-PL"/>
              </w:rPr>
              <w:t>). Wykonano przesunięci</w:t>
            </w:r>
            <w:r w:rsidR="00C019C8" w:rsidRPr="00D56891">
              <w:rPr>
                <w:rFonts w:ascii="Calibri" w:hAnsi="Calibri" w:cs="Calibri"/>
                <w:sz w:val="20"/>
                <w:szCs w:val="20"/>
                <w:lang w:val="pl-PL"/>
              </w:rPr>
              <w:t>e</w:t>
            </w:r>
            <w:r w:rsidRPr="00D5689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płata z mięśniem odwodzicielem palca V stopy. W trakcie dalszej obserwacji klinicznej (18-miesięcznej) nie odnotowano nawrotu owrzodzenia.</w:t>
            </w:r>
          </w:p>
          <w:p w14:paraId="403DCDFD" w14:textId="77777777" w:rsidR="00122031" w:rsidRPr="00D56891" w:rsidRDefault="00122031" w:rsidP="0041432C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56891"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  <w:t>Pacjent nr 2</w:t>
            </w:r>
            <w:r w:rsidRPr="00D5689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: Chłopiec, 14-letni przyjęty z powodu owrzodzenia okolicy podeszwowej stopy lewej. W wywiadzie, przed miesiącem pojawiło się niewielkie otarcie, z progresją i pogorszeniem miejscowym. Pacjent obciążony przepukliną </w:t>
            </w:r>
            <w:proofErr w:type="spellStart"/>
            <w:r w:rsidRPr="00D56891">
              <w:rPr>
                <w:rFonts w:ascii="Calibri" w:hAnsi="Calibri" w:cs="Calibri"/>
                <w:sz w:val="20"/>
                <w:szCs w:val="20"/>
                <w:lang w:val="pl-PL"/>
              </w:rPr>
              <w:t>przeponowo-rdzeniową</w:t>
            </w:r>
            <w:proofErr w:type="spellEnd"/>
            <w:r w:rsidRPr="00D5689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odcinka L-S i wodogłowiem (zaopatrzony układem zastawkowym), pęcherzem neurogennym, po przebytej korekcji ortopedycznej z powodu stopy końsko-szpotawej lewej i płasko-koślawej prawej. W wywiadzie, 3 lata wcześniej leczony z powodu odleżyny stopy lewej z zapaleniem kości sześciennej oraz klinowatej bocznej lewej w innym ośrodku. U chłopca zastosowano wtedy miejscowe oczyszczenie chirurgiczne oraz terapię podciśnieniową. Przy przyjęciu wykładniki stanu ogólnego były ujemne.  U pacjenta, po chirurgicznym opracowaniu rany, zastosowano miejscowe leczenie z wykorzystaniem opatrunków hydrożelowych. W wykonanym MRI stopy lewej opisano cechy zapalenia i uszkodzenia kości. W trakcie zabiegu operacyjnego wyłyżeczkowano kanał przetoki oraz usunięto martwiak z kości sześciennej. Lożę w ubytku kostnym wypełniono przygotowanym materiałem wypełniającym (</w:t>
            </w:r>
            <w:proofErr w:type="spellStart"/>
            <w:r w:rsidRPr="00D56891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>Stimulan</w:t>
            </w:r>
            <w:proofErr w:type="spellEnd"/>
            <w:r w:rsidRPr="00D56891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D56891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>Rapid</w:t>
            </w:r>
            <w:proofErr w:type="spellEnd"/>
            <w:r w:rsidRPr="00D56891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 xml:space="preserve"> Cure, </w:t>
            </w:r>
            <w:proofErr w:type="spellStart"/>
            <w:r w:rsidRPr="00D56891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>Biocomposites</w:t>
            </w:r>
            <w:proofErr w:type="spellEnd"/>
            <w:r w:rsidRPr="00D5689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)  w połączeniu z </w:t>
            </w:r>
            <w:proofErr w:type="spellStart"/>
            <w:r w:rsidRPr="00D56891">
              <w:rPr>
                <w:rFonts w:ascii="Calibri" w:hAnsi="Calibri" w:cs="Calibri"/>
                <w:sz w:val="20"/>
                <w:szCs w:val="20"/>
                <w:lang w:val="pl-PL"/>
              </w:rPr>
              <w:t>gentamycyną</w:t>
            </w:r>
            <w:proofErr w:type="spellEnd"/>
            <w:r w:rsidRPr="00D5689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i wankomycyną. Ranę zamknięto płatem przesuniętym pełnej grubości. Uzyskano prawidłowe gojenie i poprawę miejscową. </w:t>
            </w:r>
          </w:p>
          <w:p w14:paraId="062F88AC" w14:textId="77777777" w:rsidR="00122031" w:rsidRPr="00D56891" w:rsidRDefault="00122031" w:rsidP="0041432C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5689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Wnioski: PZK występują stosunkowo rzadko w populacji pediatrycznej, jednak mogą stanowić istotny problem kliniczny. W naszym materiale, pacjenci bardzo długo prezentowali wywiad chorobowy oraz czynniki predysponujące do wystąpienia owrzodzeń przewlekłych. Zgodnie z doniesieniami z piśmiennictwa, w naszej ocenie, najistotniejsze w procesie leczniczym PZK jest właściwe chirurgiczne opracowanie ogniska chorobowego PZK oraz zastosowanie przedłużonego leczenia miejscowego antybiotykiem na wchłanianym nośniku </w:t>
            </w:r>
            <w:proofErr w:type="spellStart"/>
            <w:r w:rsidRPr="00D56891">
              <w:rPr>
                <w:rFonts w:ascii="Calibri" w:hAnsi="Calibri" w:cs="Calibri"/>
                <w:sz w:val="20"/>
                <w:szCs w:val="20"/>
                <w:lang w:val="pl-PL"/>
              </w:rPr>
              <w:t>osteokonduktywnym</w:t>
            </w:r>
            <w:proofErr w:type="spellEnd"/>
            <w:r w:rsidRPr="00D5689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. Istotne jest również wielodyscyplinarna ocena pacjenta celem wdrożenia postępowania zapobiegającego nawrotom choroby. </w:t>
            </w:r>
          </w:p>
          <w:p w14:paraId="216F9DBD" w14:textId="689ADF1C" w:rsidR="00957597" w:rsidRPr="00D56891" w:rsidRDefault="00957597" w:rsidP="00DC4829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14:paraId="5B6B37BF" w14:textId="77777777" w:rsidR="00002DE8" w:rsidRDefault="00002DE8">
      <w:pPr>
        <w:rPr>
          <w:lang w:val="pl-PL"/>
        </w:rPr>
      </w:pPr>
    </w:p>
    <w:p w14:paraId="2F7B40F5" w14:textId="77777777" w:rsidR="006061D8" w:rsidRDefault="006061D8">
      <w:pPr>
        <w:rPr>
          <w:lang w:val="pl-PL"/>
        </w:rPr>
      </w:pPr>
    </w:p>
    <w:p w14:paraId="2677BFB0" w14:textId="77777777" w:rsidR="006061D8" w:rsidRDefault="006061D8">
      <w:pPr>
        <w:rPr>
          <w:lang w:val="pl-PL"/>
        </w:rPr>
      </w:pPr>
    </w:p>
    <w:p w14:paraId="00715164" w14:textId="77777777" w:rsidR="006061D8" w:rsidRDefault="006061D8" w:rsidP="006061D8">
      <w:pPr>
        <w:pStyle w:val="Nagwek1"/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394"/>
        <w:gridCol w:w="1701"/>
        <w:gridCol w:w="2126"/>
      </w:tblGrid>
      <w:tr w:rsidR="006061D8" w:rsidRPr="00FC73C4" w14:paraId="5BEA83EB" w14:textId="77777777" w:rsidTr="00E50A57">
        <w:trPr>
          <w:trHeight w:val="466"/>
        </w:trPr>
        <w:tc>
          <w:tcPr>
            <w:tcW w:w="1418" w:type="dxa"/>
            <w:shd w:val="clear" w:color="auto" w:fill="CCCCCC"/>
          </w:tcPr>
          <w:p w14:paraId="164C0F8B" w14:textId="77777777" w:rsidR="006061D8" w:rsidRPr="00FC73C4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Tytuł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:</w:t>
            </w:r>
          </w:p>
          <w:p w14:paraId="7EFD1365" w14:textId="77777777" w:rsidR="006061D8" w:rsidRPr="00FC73C4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14:paraId="4DDE1578" w14:textId="77777777" w:rsidR="006061D8" w:rsidRPr="00FC73C4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“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Jajko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niespodzianka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-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czego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jeszcze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nie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wiemy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o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dysgenetycznych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gonadach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”</w:t>
            </w:r>
          </w:p>
        </w:tc>
      </w:tr>
      <w:tr w:rsidR="006061D8" w:rsidRPr="00FC73C4" w14:paraId="716DA843" w14:textId="77777777" w:rsidTr="00E50A57">
        <w:trPr>
          <w:trHeight w:val="639"/>
        </w:trPr>
        <w:tc>
          <w:tcPr>
            <w:tcW w:w="1418" w:type="dxa"/>
            <w:shd w:val="clear" w:color="auto" w:fill="CCCCCC"/>
          </w:tcPr>
          <w:p w14:paraId="4ED3BAB8" w14:textId="77777777" w:rsidR="006061D8" w:rsidRPr="00FC73C4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Autorzy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8221" w:type="dxa"/>
            <w:gridSpan w:val="3"/>
          </w:tcPr>
          <w:p w14:paraId="2BAEF159" w14:textId="77777777" w:rsidR="006061D8" w:rsidRPr="00FC73C4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Justyna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Łuczak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Aleksandra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Rogowska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Monika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Bukowska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Dariusz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Patkowski</w:t>
            </w:r>
            <w:proofErr w:type="spellEnd"/>
          </w:p>
        </w:tc>
      </w:tr>
      <w:tr w:rsidR="006061D8" w:rsidRPr="00FC73C4" w14:paraId="52A1CC0B" w14:textId="77777777" w:rsidTr="00E50A57">
        <w:trPr>
          <w:trHeight w:val="706"/>
        </w:trPr>
        <w:tc>
          <w:tcPr>
            <w:tcW w:w="1418" w:type="dxa"/>
            <w:shd w:val="clear" w:color="auto" w:fill="CCCCCC"/>
          </w:tcPr>
          <w:p w14:paraId="16DD16BE" w14:textId="77777777" w:rsidR="006061D8" w:rsidRPr="00FC73C4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Ośrodek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:</w:t>
            </w:r>
          </w:p>
          <w:p w14:paraId="3ABE2900" w14:textId="77777777" w:rsidR="006061D8" w:rsidRPr="00FC73C4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E-mail:</w:t>
            </w:r>
          </w:p>
        </w:tc>
        <w:tc>
          <w:tcPr>
            <w:tcW w:w="8221" w:type="dxa"/>
            <w:gridSpan w:val="3"/>
          </w:tcPr>
          <w:p w14:paraId="2C37C4C3" w14:textId="77777777" w:rsidR="006061D8" w:rsidRPr="00FC73C4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Klinika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Chirurgii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i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Urologii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Dziecięcej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Uniwersytecki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Szpital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Kliniczny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im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. Jana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Mikulicza-Radeckiego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we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Wrocławiu</w:t>
            </w:r>
            <w:proofErr w:type="spellEnd"/>
          </w:p>
          <w:p w14:paraId="7284258F" w14:textId="77777777" w:rsidR="006061D8" w:rsidRPr="00FC73C4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hyperlink r:id="rId8" w:history="1">
              <w:r w:rsidRPr="00053DF9">
                <w:rPr>
                  <w:rStyle w:val="Hipercze"/>
                  <w:rFonts w:ascii="Calibri" w:eastAsia="Calibri" w:hAnsi="Calibri" w:cs="Calibri"/>
                  <w:bCs/>
                  <w:sz w:val="20"/>
                  <w:szCs w:val="20"/>
                </w:rPr>
                <w:t>aleksandra.rogowska@usk.wroc.pl</w:t>
              </w:r>
            </w:hyperlink>
          </w:p>
        </w:tc>
      </w:tr>
      <w:tr w:rsidR="006061D8" w:rsidRPr="00FC73C4" w14:paraId="03271D82" w14:textId="77777777" w:rsidTr="00E50A57">
        <w:trPr>
          <w:trHeight w:val="728"/>
        </w:trPr>
        <w:tc>
          <w:tcPr>
            <w:tcW w:w="1418" w:type="dxa"/>
            <w:shd w:val="clear" w:color="auto" w:fill="CCCCCC"/>
          </w:tcPr>
          <w:p w14:paraId="241DADD2" w14:textId="77777777" w:rsidR="006061D8" w:rsidRPr="00FC73C4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XXI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Sympozjum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Interdyscyplinarne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  <w:p w14:paraId="21A21361" w14:textId="77777777" w:rsidR="006061D8" w:rsidRPr="00FC73C4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6 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grudnia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2024</w:t>
            </w:r>
          </w:p>
        </w:tc>
        <w:tc>
          <w:tcPr>
            <w:tcW w:w="4394" w:type="dxa"/>
          </w:tcPr>
          <w:p w14:paraId="61CE2BA8" w14:textId="77777777" w:rsidR="006061D8" w:rsidRPr="00FC73C4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0C0C0"/>
          </w:tcPr>
          <w:p w14:paraId="3D6DA772" w14:textId="77777777" w:rsidR="006061D8" w:rsidRPr="00FC73C4" w:rsidRDefault="006061D8" w:rsidP="00E50A57">
            <w:pPr>
              <w:pStyle w:val="Nagwek2"/>
              <w:jc w:val="left"/>
              <w:rPr>
                <w:rFonts w:ascii="Calibri" w:eastAsia="Calibri" w:hAnsi="Calibri" w:cs="Calibri"/>
                <w:b w:val="0"/>
                <w:sz w:val="20"/>
                <w:szCs w:val="20"/>
                <w:highlight w:val="lightGray"/>
              </w:rPr>
            </w:pPr>
            <w:r w:rsidRPr="00FC73C4">
              <w:rPr>
                <w:rFonts w:ascii="Calibri" w:eastAsia="Calibri" w:hAnsi="Calibri" w:cs="Calibri"/>
                <w:b w:val="0"/>
                <w:sz w:val="20"/>
                <w:szCs w:val="20"/>
                <w:highlight w:val="lightGray"/>
              </w:rPr>
              <w:t xml:space="preserve">XI Konferencja Naukowo-Szkoleniowe </w:t>
            </w:r>
          </w:p>
          <w:p w14:paraId="32BD8AF8" w14:textId="77777777" w:rsidR="006061D8" w:rsidRPr="00FC73C4" w:rsidRDefault="006061D8" w:rsidP="00E50A57">
            <w:pPr>
              <w:pStyle w:val="Nagwek2"/>
              <w:jc w:val="left"/>
              <w:rPr>
                <w:rFonts w:ascii="Calibri" w:eastAsia="Calibri" w:hAnsi="Calibri" w:cs="Calibri"/>
                <w:b w:val="0"/>
                <w:sz w:val="20"/>
                <w:szCs w:val="20"/>
                <w:highlight w:val="lightGray"/>
              </w:rPr>
            </w:pPr>
            <w:r w:rsidRPr="00FC73C4">
              <w:rPr>
                <w:rFonts w:ascii="Calibri" w:eastAsia="Calibri" w:hAnsi="Calibri" w:cs="Calibri"/>
                <w:b w:val="0"/>
                <w:sz w:val="20"/>
                <w:szCs w:val="20"/>
                <w:highlight w:val="lightGray"/>
              </w:rPr>
              <w:t>7 grudnia 2024</w:t>
            </w:r>
          </w:p>
          <w:p w14:paraId="2C891BAB" w14:textId="77777777" w:rsidR="006061D8" w:rsidRPr="00FC73C4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  <w:highlight w:val="lightGray"/>
              </w:rPr>
            </w:pP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  <w:highlight w:val="lightGray"/>
              </w:rPr>
              <w:t>doniesienie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  <w:highlight w:val="lightGray"/>
              </w:rPr>
              <w:t>ustne</w:t>
            </w:r>
            <w:proofErr w:type="spellEnd"/>
          </w:p>
        </w:tc>
        <w:tc>
          <w:tcPr>
            <w:tcW w:w="2126" w:type="dxa"/>
          </w:tcPr>
          <w:p w14:paraId="22F74537" w14:textId="77777777" w:rsidR="006061D8" w:rsidRPr="00FC73C4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x</w:t>
            </w:r>
          </w:p>
        </w:tc>
      </w:tr>
      <w:tr w:rsidR="006061D8" w:rsidRPr="00FC73C4" w14:paraId="69629B86" w14:textId="77777777" w:rsidTr="00E50A57">
        <w:trPr>
          <w:trHeight w:val="6878"/>
        </w:trPr>
        <w:tc>
          <w:tcPr>
            <w:tcW w:w="1418" w:type="dxa"/>
            <w:shd w:val="clear" w:color="auto" w:fill="CCCCCC"/>
          </w:tcPr>
          <w:p w14:paraId="0EA3C57E" w14:textId="77777777" w:rsidR="006061D8" w:rsidRPr="00FC73C4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Streszczenie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:</w:t>
            </w:r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br/>
            </w:r>
          </w:p>
        </w:tc>
        <w:tc>
          <w:tcPr>
            <w:tcW w:w="8221" w:type="dxa"/>
            <w:gridSpan w:val="3"/>
          </w:tcPr>
          <w:p w14:paraId="3BDC2E45" w14:textId="77777777" w:rsidR="006061D8" w:rsidRPr="00FC73C4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Wstęp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: U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części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pacjentów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z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zaburzeniami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rozwoju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płci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ryzyko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wystąpienia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guzów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gonad jest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znacznie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wyższe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niż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w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populacji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ogólnej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.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Ocena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tego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ryzyka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jest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kluczowa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dla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zaplanowania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leczenia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pacjenta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jak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również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w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kwestii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zabezpieczenia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płodności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.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Prawidłowe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komórki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rozrodcze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obecne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są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nawet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w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dysgenetycznych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gonadach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.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Decyzje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terapeutyczne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stają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się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jeszcze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trudniejsze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w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obliczu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diagnozy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zaburzenia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rozwoju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płci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postawionej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dopiero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w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momencie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wykrycia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guza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.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Rozpoznanie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guza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gonady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u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tych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pacjentów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nie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zawsze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oznacza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bowiem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zmianę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złośliwą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. W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Polsce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kwestie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zachowania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płodności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u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dzieci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nadal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nie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zostały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uregulowane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i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nie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są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powszechnie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dostępne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</w:p>
          <w:p w14:paraId="08E7E017" w14:textId="77777777" w:rsidR="006061D8" w:rsidRPr="00FC73C4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Opis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przypadku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: 16-letnia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Pacjentka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została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skierowana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do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Kliniki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Chirurgii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i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Urologii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Dziecięcej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z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podejrzeniem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obustronnych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guzów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jajników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.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Pacjentka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uprzednio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zgłosiła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się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do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ginekologa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z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powodu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braku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miesiączki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.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Wówczas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wykonano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USG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przezpochwowe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na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podstawie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którego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wysunięto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podejrzenie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zmian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litych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obu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jajników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.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Pacjentka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nie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zgłaszała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żadnych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dolegliwości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.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Rozwój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drugorzędowych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cech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płciowych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oceniono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na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3 w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skali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Tannera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. W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toku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dalszej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diagnostyki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wykonano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MRI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miednicy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mniejszej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w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którym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opisano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obustronne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w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przewadze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lite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guzy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obu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jajników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.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Bezpęcherzykowa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stroma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jajnika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prawego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była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zachowana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w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biegunie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przednim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,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grubości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12 mm. W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badaniach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laboratoryjnych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uwagę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zwracały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podwyższone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poziomy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FSH, LH,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bHCG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i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testosteronu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.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Wstępne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badanie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genetyczne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wykazało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kariotyp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XY. </w:t>
            </w:r>
          </w:p>
          <w:p w14:paraId="428C8FB9" w14:textId="77777777" w:rsidR="006061D8" w:rsidRPr="00FC73C4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Wnioski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: W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niniejszej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pracy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przedstawiamy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dylematy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i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trudności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diagnostyczne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z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którymi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zetknęliśmy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się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opiekując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się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pacjentką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oraz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wskazujemy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na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co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warto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zwrócić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uwagę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planując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leczenie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chirurgiczne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jak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również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dalsze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postępowanie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po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zabiegu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- od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leczenia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onkologicznego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opiekę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ginekologiczną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i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endokrynologiczną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po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wsparcie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>psychologiczne</w:t>
            </w:r>
            <w:proofErr w:type="spellEnd"/>
            <w:r w:rsidRPr="00FC73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. </w:t>
            </w:r>
          </w:p>
          <w:p w14:paraId="25727CFB" w14:textId="77777777" w:rsidR="006061D8" w:rsidRPr="00FC73C4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34317BAE" w14:textId="77777777" w:rsidR="006061D8" w:rsidRPr="00FC73C4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</w:tbl>
    <w:p w14:paraId="06F5514E" w14:textId="77777777" w:rsidR="006061D8" w:rsidRDefault="006061D8" w:rsidP="006061D8"/>
    <w:p w14:paraId="63424581" w14:textId="77777777" w:rsidR="006061D8" w:rsidRDefault="006061D8">
      <w:pPr>
        <w:rPr>
          <w:lang w:val="pl-PL"/>
        </w:rPr>
      </w:pPr>
    </w:p>
    <w:p w14:paraId="5DE0BA04" w14:textId="77777777" w:rsidR="006061D8" w:rsidRDefault="006061D8">
      <w:pPr>
        <w:rPr>
          <w:lang w:val="pl-PL"/>
        </w:rPr>
      </w:pPr>
    </w:p>
    <w:p w14:paraId="114D048C" w14:textId="77777777" w:rsidR="006061D8" w:rsidRDefault="006061D8">
      <w:pPr>
        <w:rPr>
          <w:lang w:val="pl-PL"/>
        </w:rPr>
      </w:pPr>
    </w:p>
    <w:p w14:paraId="52B42136" w14:textId="77777777" w:rsidR="006061D8" w:rsidRDefault="006061D8">
      <w:pPr>
        <w:rPr>
          <w:lang w:val="pl-PL"/>
        </w:rPr>
      </w:pPr>
    </w:p>
    <w:p w14:paraId="636AF0DA" w14:textId="77777777" w:rsidR="006061D8" w:rsidRDefault="006061D8">
      <w:pPr>
        <w:rPr>
          <w:lang w:val="pl-PL"/>
        </w:rPr>
      </w:pPr>
    </w:p>
    <w:p w14:paraId="18A6CC0A" w14:textId="77777777" w:rsidR="006061D8" w:rsidRDefault="006061D8">
      <w:pPr>
        <w:rPr>
          <w:lang w:val="pl-PL"/>
        </w:rPr>
      </w:pPr>
    </w:p>
    <w:p w14:paraId="51EE643D" w14:textId="77777777" w:rsidR="006061D8" w:rsidRDefault="006061D8">
      <w:pPr>
        <w:rPr>
          <w:lang w:val="pl-PL"/>
        </w:rPr>
      </w:pPr>
    </w:p>
    <w:p w14:paraId="41885260" w14:textId="77777777" w:rsidR="006061D8" w:rsidRDefault="006061D8">
      <w:pPr>
        <w:rPr>
          <w:lang w:val="pl-PL"/>
        </w:rPr>
      </w:pPr>
    </w:p>
    <w:p w14:paraId="25CCFB07" w14:textId="77777777" w:rsidR="006061D8" w:rsidRDefault="006061D8">
      <w:pPr>
        <w:rPr>
          <w:lang w:val="pl-PL"/>
        </w:rPr>
      </w:pPr>
    </w:p>
    <w:p w14:paraId="43C70054" w14:textId="77777777" w:rsidR="006061D8" w:rsidRDefault="006061D8">
      <w:pPr>
        <w:rPr>
          <w:lang w:val="pl-PL"/>
        </w:rPr>
      </w:pPr>
    </w:p>
    <w:p w14:paraId="5AC1758B" w14:textId="77777777" w:rsidR="006061D8" w:rsidRDefault="006061D8" w:rsidP="006061D8">
      <w:pPr>
        <w:pStyle w:val="Nagwek1"/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394"/>
        <w:gridCol w:w="1701"/>
        <w:gridCol w:w="2126"/>
      </w:tblGrid>
      <w:tr w:rsidR="006061D8" w:rsidRPr="00584FAD" w14:paraId="25C6D36A" w14:textId="77777777" w:rsidTr="00E50A57">
        <w:trPr>
          <w:trHeight w:hRule="exact" w:val="822"/>
        </w:trPr>
        <w:tc>
          <w:tcPr>
            <w:tcW w:w="1418" w:type="dxa"/>
            <w:shd w:val="pct20" w:color="auto" w:fill="FFFFFF"/>
          </w:tcPr>
          <w:p w14:paraId="4AC72D89" w14:textId="77777777" w:rsidR="006061D8" w:rsidRPr="00584FAD" w:rsidRDefault="006061D8" w:rsidP="00E50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84FAD">
              <w:rPr>
                <w:rFonts w:asciiTheme="minorHAnsi" w:hAnsiTheme="minorHAnsi" w:cstheme="minorHAnsi"/>
                <w:sz w:val="20"/>
                <w:szCs w:val="20"/>
              </w:rPr>
              <w:t>Tytuł</w:t>
            </w:r>
            <w:proofErr w:type="spellEnd"/>
            <w:r w:rsidRPr="00584FA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62ACB04" w14:textId="77777777" w:rsidR="006061D8" w:rsidRPr="00584FAD" w:rsidRDefault="006061D8" w:rsidP="00E50A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14:paraId="42BB4806" w14:textId="77777777" w:rsidR="006061D8" w:rsidRPr="00584FAD" w:rsidRDefault="006061D8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Martwica i perforacja ściany żołądka u noworodka – opis przypadku.</w:t>
            </w:r>
          </w:p>
        </w:tc>
      </w:tr>
      <w:tr w:rsidR="006061D8" w:rsidRPr="00584FAD" w14:paraId="5B6A634E" w14:textId="77777777" w:rsidTr="00E50A57">
        <w:trPr>
          <w:trHeight w:hRule="exact" w:val="795"/>
        </w:trPr>
        <w:tc>
          <w:tcPr>
            <w:tcW w:w="1418" w:type="dxa"/>
            <w:shd w:val="pct20" w:color="auto" w:fill="FFFFFF"/>
          </w:tcPr>
          <w:p w14:paraId="57A95D0D" w14:textId="77777777" w:rsidR="006061D8" w:rsidRPr="00584FAD" w:rsidRDefault="006061D8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Autorzy: </w:t>
            </w:r>
          </w:p>
        </w:tc>
        <w:tc>
          <w:tcPr>
            <w:tcW w:w="8221" w:type="dxa"/>
            <w:gridSpan w:val="3"/>
          </w:tcPr>
          <w:p w14:paraId="1763A9DF" w14:textId="77777777" w:rsidR="006061D8" w:rsidRPr="00584FAD" w:rsidRDefault="006061D8" w:rsidP="00E50A57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pl-PL"/>
              </w:rPr>
            </w:pPr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Justyna Biernat-Michno</w:t>
            </w:r>
            <w:r w:rsidRPr="00584FAD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pl-PL"/>
              </w:rPr>
              <w:t>1</w:t>
            </w:r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Urszula Opasała</w:t>
            </w:r>
            <w:r w:rsidRPr="00584FAD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pl-PL"/>
              </w:rPr>
              <w:t>1</w:t>
            </w:r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Magdalena Pękalska-Thakur</w:t>
            </w:r>
            <w:r w:rsidRPr="00584FAD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pl-PL"/>
              </w:rPr>
              <w:t>1</w:t>
            </w:r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Barbara Cuch</w:t>
            </w:r>
            <w:r w:rsidRPr="00584FAD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pl-PL"/>
              </w:rPr>
              <w:t>1</w:t>
            </w:r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Michał Piątkowski</w:t>
            </w:r>
            <w:r w:rsidRPr="00584FAD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pl-PL"/>
              </w:rPr>
              <w:t>1</w:t>
            </w:r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Michał Jędrejek</w:t>
            </w:r>
            <w:r w:rsidRPr="00584FAD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pl-PL"/>
              </w:rPr>
              <w:t>1</w:t>
            </w:r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Czesław Cielecki</w:t>
            </w:r>
            <w:r w:rsidRPr="00584FAD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pl-PL"/>
              </w:rPr>
              <w:t>1</w:t>
            </w:r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Paweł Nachulewicz</w:t>
            </w:r>
            <w:r w:rsidRPr="00584FAD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pl-PL"/>
              </w:rPr>
              <w:t>1</w:t>
            </w:r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Beata Rybojad</w:t>
            </w:r>
            <w:r w:rsidRPr="00584FAD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pl-PL"/>
              </w:rPr>
              <w:t>2</w:t>
            </w:r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Agnieszka Brodzisz</w:t>
            </w:r>
            <w:r w:rsidRPr="00584FAD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pl-PL"/>
              </w:rPr>
              <w:t>3</w:t>
            </w:r>
          </w:p>
          <w:p w14:paraId="657883EF" w14:textId="77777777" w:rsidR="006061D8" w:rsidRPr="00584FAD" w:rsidRDefault="006061D8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6061D8" w:rsidRPr="00584FAD" w14:paraId="2CD12465" w14:textId="77777777" w:rsidTr="00E50A57">
        <w:trPr>
          <w:trHeight w:hRule="exact" w:val="859"/>
        </w:trPr>
        <w:tc>
          <w:tcPr>
            <w:tcW w:w="1418" w:type="dxa"/>
            <w:shd w:val="pct20" w:color="auto" w:fill="FFFFFF"/>
          </w:tcPr>
          <w:p w14:paraId="1B708E5D" w14:textId="77777777" w:rsidR="006061D8" w:rsidRPr="00584FAD" w:rsidRDefault="006061D8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Ośrodek:</w:t>
            </w:r>
          </w:p>
          <w:p w14:paraId="48125642" w14:textId="77777777" w:rsidR="006061D8" w:rsidRPr="00584FAD" w:rsidRDefault="006061D8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8221" w:type="dxa"/>
            <w:gridSpan w:val="3"/>
          </w:tcPr>
          <w:p w14:paraId="0283FEF7" w14:textId="77777777" w:rsidR="006061D8" w:rsidRPr="00584FAD" w:rsidRDefault="006061D8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84FAD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pl-PL"/>
              </w:rPr>
              <w:t>1</w:t>
            </w:r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Klinika Chirurgii i Traumatologii Dziecięcej UM, USD w Lublinie</w:t>
            </w:r>
          </w:p>
          <w:p w14:paraId="1CD90D2B" w14:textId="77777777" w:rsidR="006061D8" w:rsidRPr="00584FAD" w:rsidRDefault="006061D8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84FAD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pl-PL"/>
              </w:rPr>
              <w:t>2</w:t>
            </w:r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Klinika Anestezjologii i Intensywnej Terapii Dziecięcej UM, USD w Lublinie</w:t>
            </w:r>
          </w:p>
          <w:p w14:paraId="4DDAF062" w14:textId="77777777" w:rsidR="006061D8" w:rsidRPr="00584FAD" w:rsidRDefault="006061D8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84FAD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pl-PL"/>
              </w:rPr>
              <w:t>3</w:t>
            </w:r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Zakład Diagnostyki Obrazowej, USD w Lublinie</w:t>
            </w:r>
          </w:p>
          <w:p w14:paraId="6344AE33" w14:textId="77777777" w:rsidR="006061D8" w:rsidRPr="00584FAD" w:rsidRDefault="006061D8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CDBC91F" w14:textId="77777777" w:rsidR="006061D8" w:rsidRPr="00584FAD" w:rsidRDefault="006061D8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76BF87FE" w14:textId="77777777" w:rsidR="006061D8" w:rsidRPr="00584FAD" w:rsidRDefault="006061D8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6061D8" w:rsidRPr="00584FAD" w14:paraId="10BC505C" w14:textId="77777777" w:rsidTr="00E50A57">
        <w:trPr>
          <w:trHeight w:hRule="exact" w:val="303"/>
        </w:trPr>
        <w:tc>
          <w:tcPr>
            <w:tcW w:w="1418" w:type="dxa"/>
            <w:shd w:val="pct20" w:color="auto" w:fill="FFFFFF"/>
          </w:tcPr>
          <w:p w14:paraId="6E6DF9C0" w14:textId="77777777" w:rsidR="006061D8" w:rsidRPr="00584FAD" w:rsidRDefault="006061D8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8221" w:type="dxa"/>
            <w:gridSpan w:val="3"/>
          </w:tcPr>
          <w:p w14:paraId="0C132A66" w14:textId="77777777" w:rsidR="006061D8" w:rsidRPr="00584FAD" w:rsidRDefault="006061D8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hyperlink r:id="rId9" w:history="1">
              <w:r w:rsidRPr="00584FAD">
                <w:rPr>
                  <w:rStyle w:val="Hipercze"/>
                  <w:rFonts w:asciiTheme="minorHAnsi" w:hAnsiTheme="minorHAnsi" w:cstheme="minorHAnsi"/>
                  <w:sz w:val="20"/>
                  <w:szCs w:val="20"/>
                  <w:lang w:val="pl-PL"/>
                </w:rPr>
                <w:t>j.a.biernat@gmail.com</w:t>
              </w:r>
            </w:hyperlink>
          </w:p>
          <w:p w14:paraId="564E310B" w14:textId="77777777" w:rsidR="006061D8" w:rsidRPr="00584FAD" w:rsidRDefault="006061D8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6061D8" w:rsidRPr="00584FAD" w14:paraId="50BB7383" w14:textId="77777777" w:rsidTr="00E50A57">
        <w:trPr>
          <w:trHeight w:hRule="exact" w:val="987"/>
        </w:trPr>
        <w:tc>
          <w:tcPr>
            <w:tcW w:w="1418" w:type="dxa"/>
            <w:shd w:val="pct20" w:color="auto" w:fill="FFFFFF"/>
          </w:tcPr>
          <w:p w14:paraId="23639956" w14:textId="77777777" w:rsidR="006061D8" w:rsidRPr="00584FAD" w:rsidRDefault="006061D8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XXI Sympozjum Interdyscyplinarne </w:t>
            </w:r>
          </w:p>
          <w:p w14:paraId="3EFE4FC2" w14:textId="77777777" w:rsidR="006061D8" w:rsidRPr="00584FAD" w:rsidRDefault="006061D8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  grudnia 2024</w:t>
            </w:r>
          </w:p>
          <w:p w14:paraId="3D46A54F" w14:textId="77777777" w:rsidR="006061D8" w:rsidRPr="00584FAD" w:rsidRDefault="006061D8" w:rsidP="00E50A57">
            <w:pPr>
              <w:tabs>
                <w:tab w:val="left" w:pos="1365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doniesienie ustne</w:t>
            </w:r>
          </w:p>
        </w:tc>
        <w:tc>
          <w:tcPr>
            <w:tcW w:w="4394" w:type="dxa"/>
          </w:tcPr>
          <w:p w14:paraId="5A40ADC0" w14:textId="77777777" w:rsidR="006061D8" w:rsidRPr="00584FAD" w:rsidRDefault="006061D8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shd w:val="clear" w:color="auto" w:fill="C0C0C0"/>
          </w:tcPr>
          <w:p w14:paraId="7E5687B9" w14:textId="77777777" w:rsidR="006061D8" w:rsidRPr="00584FAD" w:rsidRDefault="006061D8" w:rsidP="00E50A57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</w:pPr>
            <w:r w:rsidRPr="00584FA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 xml:space="preserve">XI Konferencja Naukowo-Szkoleniowe </w:t>
            </w:r>
          </w:p>
          <w:p w14:paraId="58A1B067" w14:textId="77777777" w:rsidR="006061D8" w:rsidRPr="00584FAD" w:rsidRDefault="006061D8" w:rsidP="00E50A57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</w:pPr>
            <w:r w:rsidRPr="00584FA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>7 grudnia 2024</w:t>
            </w:r>
          </w:p>
          <w:p w14:paraId="4DF94459" w14:textId="77777777" w:rsidR="006061D8" w:rsidRPr="00584FAD" w:rsidRDefault="006061D8" w:rsidP="00E50A57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  <w:lang w:val="pl-PL"/>
              </w:rPr>
            </w:pPr>
            <w:r w:rsidRPr="00584FAD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pl-PL"/>
              </w:rPr>
              <w:t>doniesienie ustne</w:t>
            </w:r>
          </w:p>
        </w:tc>
        <w:tc>
          <w:tcPr>
            <w:tcW w:w="2126" w:type="dxa"/>
          </w:tcPr>
          <w:p w14:paraId="6EBFD781" w14:textId="77777777" w:rsidR="006061D8" w:rsidRPr="00584FAD" w:rsidRDefault="006061D8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X</w:t>
            </w:r>
          </w:p>
        </w:tc>
      </w:tr>
      <w:tr w:rsidR="006061D8" w:rsidRPr="00584FAD" w14:paraId="65B7AE68" w14:textId="77777777" w:rsidTr="00E50A57">
        <w:trPr>
          <w:trHeight w:hRule="exact" w:val="8656"/>
        </w:trPr>
        <w:tc>
          <w:tcPr>
            <w:tcW w:w="1418" w:type="dxa"/>
            <w:shd w:val="pct20" w:color="auto" w:fill="FFFFFF"/>
          </w:tcPr>
          <w:p w14:paraId="424B47F9" w14:textId="77777777" w:rsidR="006061D8" w:rsidRPr="00584FAD" w:rsidRDefault="006061D8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Streszczenie:</w:t>
            </w:r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</w:p>
        </w:tc>
        <w:tc>
          <w:tcPr>
            <w:tcW w:w="8221" w:type="dxa"/>
            <w:gridSpan w:val="3"/>
          </w:tcPr>
          <w:p w14:paraId="5D14FE10" w14:textId="77777777" w:rsidR="006061D8" w:rsidRPr="00584FAD" w:rsidRDefault="006061D8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09638727" w14:textId="77777777" w:rsidR="006061D8" w:rsidRPr="00584FAD" w:rsidRDefault="006061D8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Wstęp</w:t>
            </w:r>
          </w:p>
          <w:p w14:paraId="4A44A6C1" w14:textId="77777777" w:rsidR="006061D8" w:rsidRPr="00584FAD" w:rsidRDefault="006061D8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Martwica i perforacja ściany żołądka w okresie noworodkowym, jest rzadkim lecz zagrażającym życiu stanem. Etiologia tego schorzenia nie jest do końca poznana. Do głównych czynników ryzyka rozwoju martwicy ściany żołądka należą: wcześniactwo, niska masa urodzeniowa,  zaburzenie przepływu trzewnego i infekcja. Perforacja żołądka prowadzi do rozwoju ciężkich powikłań, takich jak zapalenie otrzewnej, posocznica i niewydolność wielonarządowa. Podstawę rozpoznania oprócz objawów klinicznych (wzdęcie brzucha, pogorszenie stanu ogólnego) stanowi zdjęcie przeglądowe jamy brzusznej. Jakkolwiek objawy kliniczne i obraz radiologiczny mogą być niespecyficzne, szybkie rozpoznanie, kwalifikacja do leczenia operacyjnego w trybie pilnym oraz wielokierunkowa intensywna terapia pooperacyjna stanowią podstawę leczenia tego typu pacjentów. </w:t>
            </w:r>
          </w:p>
          <w:p w14:paraId="46BE0DCF" w14:textId="77777777" w:rsidR="006061D8" w:rsidRPr="00584FAD" w:rsidRDefault="006061D8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042493EC" w14:textId="77777777" w:rsidR="006061D8" w:rsidRPr="00584FAD" w:rsidRDefault="006061D8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Przypadek kliniczny</w:t>
            </w:r>
          </w:p>
          <w:p w14:paraId="0A4B706C" w14:textId="77777777" w:rsidR="006061D8" w:rsidRPr="00584FAD" w:rsidRDefault="006061D8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Noworodek płci żeńskiej, 40 </w:t>
            </w:r>
            <w:proofErr w:type="spellStart"/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hbd</w:t>
            </w:r>
            <w:proofErr w:type="spellEnd"/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z masą urodzeniową 3430g z </w:t>
            </w:r>
            <w:proofErr w:type="spellStart"/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trisomią</w:t>
            </w:r>
            <w:proofErr w:type="spellEnd"/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chromosomu 21., urodzony przez cięcie cesarskie z powodu zagrażającej zamartwicy płodu. W wywiadzie położniczym małowodzie. Po urodzeniu stan noworodka był ciężki (skala </w:t>
            </w:r>
            <w:proofErr w:type="spellStart"/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Apgar</w:t>
            </w:r>
            <w:proofErr w:type="spellEnd"/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odpowiednio 1,5,5,6). Dziecko wymagało resuscytacji krążeniowo-oddechowej z zastępczą wentylacją mechaniczną i zastosowaniem terapeutycznej hipotermii. W 4. dobie życia nastąpiło nagłe wzdęcie brzucha  z pogorszeniem stanu ogólnego. W wykonanym RTG jamy brzusznej stwierdzono masywną odmę otrzewnową. Pacjent został zakwalifikowany do pilnej laparotomii. W trakcie zabiegu stwierdzono martwicę całej przedniej ściany żołądka z perforacją. Wykonano resekcję zmian martwiczych w zdrowych makroskopowo granicach. Żołądek zszyto dwuwarstwowo z pozostawieniem sondy w jego świetle (redukcja objętości ok. 50%). Po operacji dziecko pozostawało w ciężkim stanie, wymagało wentylacji  mechanicznej z </w:t>
            </w:r>
            <w:proofErr w:type="spellStart"/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analgosedacją</w:t>
            </w:r>
            <w:proofErr w:type="spellEnd"/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szerokospektralnej</w:t>
            </w:r>
            <w:proofErr w:type="spellEnd"/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antybiotykoterapii z TPN (</w:t>
            </w:r>
            <w:proofErr w:type="spellStart"/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total</w:t>
            </w:r>
            <w:proofErr w:type="spellEnd"/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parenteral</w:t>
            </w:r>
            <w:proofErr w:type="spellEnd"/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nutrition</w:t>
            </w:r>
            <w:proofErr w:type="spellEnd"/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).  Od 5. doby obserwowano stopniową poprawę stanu ogólnego. Po potwierdzeniu szczelności żołądka w badaniu kontrastowym rozpoczęto podaż </w:t>
            </w:r>
            <w:proofErr w:type="spellStart"/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enteralną</w:t>
            </w:r>
            <w:proofErr w:type="spellEnd"/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pokarmu. Dziecko wypisano z OIOM-u w 14. dobie pooperacyjnej i przeniesiono do Oddziału Patologii Noworodków. </w:t>
            </w:r>
          </w:p>
          <w:p w14:paraId="0B248EBE" w14:textId="77777777" w:rsidR="006061D8" w:rsidRPr="00584FAD" w:rsidRDefault="006061D8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1484C8A5" w14:textId="77777777" w:rsidR="006061D8" w:rsidRPr="00584FAD" w:rsidRDefault="006061D8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Wnioski</w:t>
            </w:r>
          </w:p>
          <w:p w14:paraId="45122F91" w14:textId="77777777" w:rsidR="006061D8" w:rsidRPr="00584FAD" w:rsidRDefault="006061D8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84F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Perforacja żołądka w okresie noworodkowym zawsze wymaga leczenia operacyjnego w trybie pilnym oraz wielospecjalistycznego leczenia ze szczególnym uwzględnieniem pooperacyjnej intensywnej terapii.</w:t>
            </w:r>
          </w:p>
        </w:tc>
      </w:tr>
    </w:tbl>
    <w:p w14:paraId="52AAB8BA" w14:textId="77777777" w:rsidR="006061D8" w:rsidRPr="005C1A71" w:rsidRDefault="006061D8" w:rsidP="006061D8">
      <w:pPr>
        <w:rPr>
          <w:lang w:val="pl-PL"/>
        </w:rPr>
      </w:pPr>
    </w:p>
    <w:p w14:paraId="4464669D" w14:textId="77777777" w:rsidR="006061D8" w:rsidRDefault="006061D8">
      <w:pPr>
        <w:rPr>
          <w:lang w:val="pl-PL"/>
        </w:rPr>
      </w:pPr>
    </w:p>
    <w:p w14:paraId="72821236" w14:textId="77777777" w:rsidR="006061D8" w:rsidRDefault="006061D8">
      <w:pPr>
        <w:rPr>
          <w:lang w:val="pl-PL"/>
        </w:rPr>
      </w:pPr>
    </w:p>
    <w:p w14:paraId="708A2861" w14:textId="77777777" w:rsidR="006061D8" w:rsidRDefault="006061D8" w:rsidP="006061D8">
      <w:pPr>
        <w:pStyle w:val="Nagwek1"/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4224"/>
        <w:gridCol w:w="1701"/>
        <w:gridCol w:w="2126"/>
      </w:tblGrid>
      <w:tr w:rsidR="006061D8" w:rsidRPr="00D171DC" w14:paraId="50C31C65" w14:textId="77777777" w:rsidTr="00E50A57">
        <w:trPr>
          <w:trHeight w:val="608"/>
        </w:trPr>
        <w:tc>
          <w:tcPr>
            <w:tcW w:w="1588" w:type="dxa"/>
            <w:shd w:val="clear" w:color="auto" w:fill="CCCCCC"/>
          </w:tcPr>
          <w:p w14:paraId="7F3C17F5" w14:textId="77777777" w:rsidR="006061D8" w:rsidRPr="00D171DC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Tytuł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:</w:t>
            </w:r>
          </w:p>
          <w:p w14:paraId="3F70198D" w14:textId="77777777" w:rsidR="006061D8" w:rsidRPr="00D171DC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8051" w:type="dxa"/>
            <w:gridSpan w:val="3"/>
          </w:tcPr>
          <w:p w14:paraId="4A910054" w14:textId="77777777" w:rsidR="006061D8" w:rsidRPr="00D171DC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Postępowanie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u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pacjenta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z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ciężkim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urazem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jamy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brzusznej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–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opis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przypadku</w:t>
            </w:r>
            <w:proofErr w:type="spellEnd"/>
          </w:p>
          <w:p w14:paraId="37C662A5" w14:textId="77777777" w:rsidR="006061D8" w:rsidRPr="00D171DC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6061D8" w:rsidRPr="00D171DC" w14:paraId="7254F95F" w14:textId="77777777" w:rsidTr="00E50A57">
        <w:trPr>
          <w:trHeight w:val="639"/>
        </w:trPr>
        <w:tc>
          <w:tcPr>
            <w:tcW w:w="1588" w:type="dxa"/>
            <w:shd w:val="clear" w:color="auto" w:fill="CCCCCC"/>
          </w:tcPr>
          <w:p w14:paraId="68254154" w14:textId="77777777" w:rsidR="006061D8" w:rsidRPr="00D171DC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Autorzy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8051" w:type="dxa"/>
            <w:gridSpan w:val="3"/>
          </w:tcPr>
          <w:p w14:paraId="78483045" w14:textId="77777777" w:rsidR="006061D8" w:rsidRPr="00D171DC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Urszula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Ochal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Michał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Puchalski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Maciej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Główczak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Małgorzata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Kusza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Małgorzata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Nowak,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Dorota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Kołodziej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Witold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Miaśkiewicz</w:t>
            </w:r>
            <w:proofErr w:type="spellEnd"/>
          </w:p>
          <w:p w14:paraId="0470B178" w14:textId="77777777" w:rsidR="006061D8" w:rsidRPr="00D171DC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6061D8" w:rsidRPr="00D171DC" w14:paraId="6E9EEF2E" w14:textId="77777777" w:rsidTr="00E50A57">
        <w:trPr>
          <w:trHeight w:val="1012"/>
        </w:trPr>
        <w:tc>
          <w:tcPr>
            <w:tcW w:w="1588" w:type="dxa"/>
            <w:shd w:val="clear" w:color="auto" w:fill="CCCCCC"/>
          </w:tcPr>
          <w:p w14:paraId="40EF94DE" w14:textId="77777777" w:rsidR="006061D8" w:rsidRPr="00D171DC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Ośrodek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:</w:t>
            </w:r>
          </w:p>
          <w:p w14:paraId="422EDD18" w14:textId="77777777" w:rsidR="006061D8" w:rsidRPr="00D171DC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E-mail:</w:t>
            </w:r>
          </w:p>
        </w:tc>
        <w:tc>
          <w:tcPr>
            <w:tcW w:w="8051" w:type="dxa"/>
            <w:gridSpan w:val="3"/>
          </w:tcPr>
          <w:p w14:paraId="1AE4B065" w14:textId="77777777" w:rsidR="006061D8" w:rsidRPr="00D171DC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Oddział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Chirurgii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i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Traumatologii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Dziecięcej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z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Wielkopolskim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Centrum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Leczenia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Oparzeń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w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Ostrowie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Wlkp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</w:p>
          <w:p w14:paraId="524FE1E4" w14:textId="77777777" w:rsidR="006061D8" w:rsidRPr="00D171DC" w:rsidRDefault="006061D8" w:rsidP="00E50A57">
            <w:pPr>
              <w:spacing w:before="24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chirurgdzieci@gmail.com</w:t>
            </w:r>
          </w:p>
          <w:p w14:paraId="5D99C171" w14:textId="77777777" w:rsidR="006061D8" w:rsidRPr="00D171DC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6061D8" w:rsidRPr="00D171DC" w14:paraId="38FFE9B6" w14:textId="77777777" w:rsidTr="00E50A57">
        <w:trPr>
          <w:trHeight w:val="1281"/>
        </w:trPr>
        <w:tc>
          <w:tcPr>
            <w:tcW w:w="1588" w:type="dxa"/>
            <w:shd w:val="clear" w:color="auto" w:fill="CCCCCC"/>
          </w:tcPr>
          <w:p w14:paraId="624A9D76" w14:textId="77777777" w:rsidR="006061D8" w:rsidRPr="00D171DC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XXI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Sympozjum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Interdyscyplinarne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  <w:p w14:paraId="6387AB7B" w14:textId="77777777" w:rsidR="006061D8" w:rsidRPr="00D171DC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6 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grudnia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2024</w:t>
            </w:r>
          </w:p>
          <w:p w14:paraId="66CA71F0" w14:textId="77777777" w:rsidR="006061D8" w:rsidRPr="00D171DC" w:rsidRDefault="006061D8" w:rsidP="00E50A57">
            <w:pPr>
              <w:tabs>
                <w:tab w:val="left" w:pos="1365"/>
              </w:tabs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doniesienie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ustne</w:t>
            </w:r>
            <w:proofErr w:type="spellEnd"/>
          </w:p>
        </w:tc>
        <w:tc>
          <w:tcPr>
            <w:tcW w:w="4224" w:type="dxa"/>
          </w:tcPr>
          <w:p w14:paraId="7F81DF5F" w14:textId="77777777" w:rsidR="006061D8" w:rsidRPr="00D171DC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346341E3" w14:textId="77777777" w:rsidR="006061D8" w:rsidRPr="00D171DC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0C0C0"/>
          </w:tcPr>
          <w:p w14:paraId="5EE37D66" w14:textId="77777777" w:rsidR="006061D8" w:rsidRPr="00D171DC" w:rsidRDefault="006061D8" w:rsidP="00E50A57">
            <w:pPr>
              <w:pStyle w:val="Nagwek2"/>
              <w:jc w:val="left"/>
              <w:rPr>
                <w:rFonts w:ascii="Calibri" w:eastAsia="Calibri" w:hAnsi="Calibri" w:cs="Calibri"/>
                <w:b w:val="0"/>
                <w:sz w:val="20"/>
                <w:szCs w:val="20"/>
                <w:highlight w:val="lightGray"/>
              </w:rPr>
            </w:pPr>
            <w:r w:rsidRPr="00D171DC">
              <w:rPr>
                <w:rFonts w:ascii="Calibri" w:eastAsia="Calibri" w:hAnsi="Calibri" w:cs="Calibri"/>
                <w:b w:val="0"/>
                <w:sz w:val="20"/>
                <w:szCs w:val="20"/>
                <w:highlight w:val="lightGray"/>
              </w:rPr>
              <w:t xml:space="preserve">XI Konferencja Naukowo-Szkoleniowe </w:t>
            </w:r>
          </w:p>
          <w:p w14:paraId="584EAD63" w14:textId="77777777" w:rsidR="006061D8" w:rsidRPr="00D171DC" w:rsidRDefault="006061D8" w:rsidP="00E50A57">
            <w:pPr>
              <w:pStyle w:val="Nagwek2"/>
              <w:jc w:val="left"/>
              <w:rPr>
                <w:rFonts w:ascii="Calibri" w:eastAsia="Calibri" w:hAnsi="Calibri" w:cs="Calibri"/>
                <w:b w:val="0"/>
                <w:sz w:val="20"/>
                <w:szCs w:val="20"/>
                <w:highlight w:val="lightGray"/>
              </w:rPr>
            </w:pPr>
            <w:r w:rsidRPr="00D171DC">
              <w:rPr>
                <w:rFonts w:ascii="Calibri" w:eastAsia="Calibri" w:hAnsi="Calibri" w:cs="Calibri"/>
                <w:b w:val="0"/>
                <w:sz w:val="20"/>
                <w:szCs w:val="20"/>
                <w:highlight w:val="lightGray"/>
              </w:rPr>
              <w:t>7 grudnia 2024</w:t>
            </w:r>
          </w:p>
          <w:p w14:paraId="5D5E880E" w14:textId="77777777" w:rsidR="006061D8" w:rsidRPr="00D171DC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  <w:highlight w:val="lightGray"/>
              </w:rPr>
            </w:pP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  <w:highlight w:val="lightGray"/>
              </w:rPr>
              <w:t>doniesienie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  <w:highlight w:val="lightGray"/>
              </w:rPr>
              <w:t>ustne</w:t>
            </w:r>
            <w:proofErr w:type="spellEnd"/>
          </w:p>
        </w:tc>
        <w:tc>
          <w:tcPr>
            <w:tcW w:w="2126" w:type="dxa"/>
          </w:tcPr>
          <w:p w14:paraId="0E9659CE" w14:textId="77777777" w:rsidR="006061D8" w:rsidRPr="00D171DC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6061D8" w:rsidRPr="00D171DC" w14:paraId="77E9A3FF" w14:textId="77777777" w:rsidTr="00E50A57">
        <w:trPr>
          <w:trHeight w:val="8385"/>
        </w:trPr>
        <w:tc>
          <w:tcPr>
            <w:tcW w:w="1588" w:type="dxa"/>
            <w:shd w:val="clear" w:color="auto" w:fill="CCCCCC"/>
          </w:tcPr>
          <w:p w14:paraId="4CB5B598" w14:textId="77777777" w:rsidR="006061D8" w:rsidRPr="00D171DC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Streszczenie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:</w:t>
            </w:r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br/>
            </w:r>
          </w:p>
        </w:tc>
        <w:tc>
          <w:tcPr>
            <w:tcW w:w="8051" w:type="dxa"/>
            <w:gridSpan w:val="3"/>
          </w:tcPr>
          <w:p w14:paraId="7204772F" w14:textId="77777777" w:rsidR="006061D8" w:rsidRPr="00D171DC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  <w:p w14:paraId="305D46A7" w14:textId="77777777" w:rsidR="006061D8" w:rsidRPr="00D171DC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056C42D2" w14:textId="77777777" w:rsidR="006061D8" w:rsidRPr="00D171DC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16-letni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chłopiec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leczony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z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powodu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masywnego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urazu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jamy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brzusznej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oraz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powłok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brzucha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na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skutek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ciężkiego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urazu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komunikacyjnego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.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Operowany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pilnie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w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trybie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„damage control” z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powodu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wielomiejscowego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uszkodzenia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jelita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cienkiego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wraz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z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jego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krezką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oraz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naczyń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krezkowych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górnych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w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zakresie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środkowego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dorzecza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w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obrazie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wstrząsu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hipowolemicznego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. W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odroczonej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relaparotomii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wykonano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resekcję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martwiczo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zmienionych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pętli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jelita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krętego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– ok. 90% - z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wyłonieniem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1-lufowej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ileostomii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.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Ze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względu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na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masywne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uszkodzenie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powłok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jamy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brzusznej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pacjent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wymagał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kolejnego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zabiegu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operacyjnego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z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zastosowaniem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terapii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VAC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oraz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2-portowej endo-VAC.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Pacjent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rozwinął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objawy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zespołu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krótkiego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jelita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–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żywiony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pozajelitowo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oraz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dojelitowo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dietą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przemysłową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celem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redukcji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strat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przez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przetokę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jelitową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. Po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zbilansowaniu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terapii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żywieniowej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zakwalifikowany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do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żywienia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domowego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pozajelitowego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–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cewnik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Broviac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-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przed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planowanym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odtworzeniem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ciągłości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przewodu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pokarmowego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w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terminie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>za</w:t>
            </w:r>
            <w:proofErr w:type="spellEnd"/>
            <w:r w:rsidRPr="00D171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ok. 6 m-cy.</w:t>
            </w:r>
          </w:p>
          <w:p w14:paraId="254C3713" w14:textId="77777777" w:rsidR="006061D8" w:rsidRPr="00D171DC" w:rsidRDefault="006061D8" w:rsidP="00E50A57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</w:tbl>
    <w:p w14:paraId="59457482" w14:textId="77777777" w:rsidR="006061D8" w:rsidRDefault="006061D8" w:rsidP="006061D8"/>
    <w:p w14:paraId="0301A100" w14:textId="77777777" w:rsidR="006061D8" w:rsidRPr="005C1A71" w:rsidRDefault="006061D8">
      <w:pPr>
        <w:rPr>
          <w:lang w:val="pl-PL"/>
        </w:rPr>
      </w:pPr>
      <w:bookmarkStart w:id="0" w:name="_GoBack"/>
      <w:bookmarkEnd w:id="0"/>
    </w:p>
    <w:sectPr w:rsidR="006061D8" w:rsidRPr="005C1A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CD0C4" w14:textId="77777777" w:rsidR="00CC6D5D" w:rsidRDefault="00CC6D5D">
      <w:r>
        <w:separator/>
      </w:r>
    </w:p>
  </w:endnote>
  <w:endnote w:type="continuationSeparator" w:id="0">
    <w:p w14:paraId="77D20450" w14:textId="77777777" w:rsidR="00CC6D5D" w:rsidRDefault="00CC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51D6E" w14:textId="77777777" w:rsidR="0055578C" w:rsidRDefault="005557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8448C" w14:textId="77777777" w:rsidR="00A052AB" w:rsidRDefault="00A052AB" w:rsidP="00A052AB">
    <w:pPr>
      <w:pStyle w:val="Stopka"/>
      <w:jc w:val="center"/>
      <w:rPr>
        <w:b/>
        <w:bCs/>
        <w:sz w:val="20"/>
        <w:lang w:val="pl-PL"/>
      </w:rPr>
    </w:pPr>
  </w:p>
  <w:p w14:paraId="43CA8F38" w14:textId="77777777" w:rsidR="002C56EA" w:rsidRPr="00DC4829" w:rsidRDefault="002C56EA" w:rsidP="002C56EA">
    <w:pPr>
      <w:pStyle w:val="Stopka"/>
      <w:jc w:val="center"/>
      <w:rPr>
        <w:b/>
        <w:bCs/>
        <w:sz w:val="18"/>
        <w:lang w:val="pl-PL"/>
      </w:rPr>
    </w:pPr>
    <w:r w:rsidRPr="00DC4829">
      <w:rPr>
        <w:b/>
        <w:bCs/>
        <w:sz w:val="18"/>
        <w:lang w:val="pl-PL"/>
      </w:rPr>
      <w:t>Streszczenia prac</w:t>
    </w:r>
    <w:r w:rsidR="003F7795" w:rsidRPr="00DC4829">
      <w:rPr>
        <w:b/>
        <w:bCs/>
        <w:sz w:val="18"/>
        <w:lang w:val="pl-PL"/>
      </w:rPr>
      <w:t>y</w:t>
    </w:r>
    <w:r w:rsidRPr="00DC4829">
      <w:rPr>
        <w:b/>
        <w:bCs/>
        <w:sz w:val="18"/>
        <w:lang w:val="pl-PL"/>
      </w:rPr>
      <w:t xml:space="preserve"> należy zgłaszać </w:t>
    </w:r>
  </w:p>
  <w:p w14:paraId="4CE52173" w14:textId="3071A8CD" w:rsidR="00002DE8" w:rsidRPr="00DC4829" w:rsidRDefault="003F7795" w:rsidP="002C56EA">
    <w:pPr>
      <w:pStyle w:val="Stopka"/>
      <w:jc w:val="center"/>
      <w:rPr>
        <w:b/>
        <w:bCs/>
        <w:sz w:val="18"/>
        <w:lang w:val="pl-PL"/>
      </w:rPr>
    </w:pPr>
    <w:r w:rsidRPr="00DC4829">
      <w:rPr>
        <w:b/>
        <w:bCs/>
        <w:sz w:val="18"/>
        <w:lang w:val="pl-PL"/>
      </w:rPr>
      <w:t>d</w:t>
    </w:r>
    <w:r w:rsidR="002C56EA" w:rsidRPr="00DC4829">
      <w:rPr>
        <w:b/>
        <w:bCs/>
        <w:sz w:val="18"/>
        <w:lang w:val="pl-PL"/>
      </w:rPr>
      <w:t>o</w:t>
    </w:r>
    <w:r w:rsidRPr="00DC4829">
      <w:rPr>
        <w:b/>
        <w:bCs/>
        <w:sz w:val="18"/>
        <w:lang w:val="pl-PL"/>
      </w:rPr>
      <w:t xml:space="preserve"> dnia </w:t>
    </w:r>
    <w:r w:rsidR="00904769" w:rsidRPr="00DC4829">
      <w:rPr>
        <w:b/>
        <w:bCs/>
        <w:sz w:val="18"/>
        <w:lang w:val="pl-PL"/>
      </w:rPr>
      <w:t xml:space="preserve"> </w:t>
    </w:r>
    <w:r w:rsidR="005142DC" w:rsidRPr="00DC4829">
      <w:rPr>
        <w:b/>
        <w:bCs/>
        <w:sz w:val="18"/>
        <w:lang w:val="pl-PL"/>
      </w:rPr>
      <w:t>1</w:t>
    </w:r>
    <w:r w:rsidR="007728A0">
      <w:rPr>
        <w:b/>
        <w:bCs/>
        <w:sz w:val="18"/>
        <w:lang w:val="pl-PL"/>
      </w:rPr>
      <w:t>6</w:t>
    </w:r>
    <w:r w:rsidR="00904769" w:rsidRPr="00DC4829">
      <w:rPr>
        <w:b/>
        <w:bCs/>
        <w:sz w:val="18"/>
        <w:lang w:val="pl-PL"/>
      </w:rPr>
      <w:t>.1</w:t>
    </w:r>
    <w:r w:rsidR="00913501" w:rsidRPr="00DC4829">
      <w:rPr>
        <w:b/>
        <w:bCs/>
        <w:sz w:val="18"/>
        <w:lang w:val="pl-PL"/>
      </w:rPr>
      <w:t>1</w:t>
    </w:r>
    <w:r w:rsidR="00904769" w:rsidRPr="00DC4829">
      <w:rPr>
        <w:b/>
        <w:bCs/>
        <w:sz w:val="18"/>
        <w:lang w:val="pl-PL"/>
      </w:rPr>
      <w:t>.20</w:t>
    </w:r>
    <w:r w:rsidR="008D0079">
      <w:rPr>
        <w:b/>
        <w:bCs/>
        <w:sz w:val="18"/>
        <w:lang w:val="pl-PL"/>
      </w:rPr>
      <w:t>2</w:t>
    </w:r>
    <w:r w:rsidR="00DD5DB7">
      <w:rPr>
        <w:b/>
        <w:bCs/>
        <w:sz w:val="18"/>
        <w:lang w:val="pl-PL"/>
      </w:rPr>
      <w:t>4</w:t>
    </w:r>
    <w:r w:rsidR="002C56EA" w:rsidRPr="00DC4829">
      <w:rPr>
        <w:b/>
        <w:bCs/>
        <w:sz w:val="18"/>
        <w:lang w:val="pl-PL"/>
      </w:rPr>
      <w:t xml:space="preserve"> na adres e-mail: </w:t>
    </w:r>
    <w:hyperlink r:id="rId1" w:history="1">
      <w:r w:rsidR="006F5F4F" w:rsidRPr="00DC4829">
        <w:rPr>
          <w:rStyle w:val="Hipercze"/>
          <w:b/>
          <w:bCs/>
          <w:sz w:val="18"/>
          <w:lang w:val="pl-PL"/>
        </w:rPr>
        <w:t>p.kalicinski@ipczd.pl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C95D7" w14:textId="77777777" w:rsidR="0055578C" w:rsidRDefault="005557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0623D" w14:textId="77777777" w:rsidR="00CC6D5D" w:rsidRDefault="00CC6D5D">
      <w:r>
        <w:separator/>
      </w:r>
    </w:p>
  </w:footnote>
  <w:footnote w:type="continuationSeparator" w:id="0">
    <w:p w14:paraId="2CBCCB7C" w14:textId="77777777" w:rsidR="00CC6D5D" w:rsidRDefault="00CC6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8EBB1" w14:textId="77777777" w:rsidR="0055578C" w:rsidRDefault="005557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803BF" w14:textId="2C8AF55F" w:rsidR="00060866" w:rsidRDefault="00DA48C2" w:rsidP="000A2451">
    <w:pPr>
      <w:jc w:val="center"/>
      <w:rPr>
        <w:rFonts w:ascii="Calibri" w:hAnsi="Calibri" w:cs="Arial"/>
        <w:sz w:val="20"/>
        <w:szCs w:val="20"/>
      </w:rPr>
    </w:pPr>
    <w:r w:rsidRPr="008A7C2F">
      <w:rPr>
        <w:rFonts w:ascii="Calibri" w:hAnsi="Calibri" w:cs="Arial"/>
        <w:caps/>
        <w:sz w:val="20"/>
        <w:szCs w:val="20"/>
      </w:rPr>
      <w:t>X</w:t>
    </w:r>
    <w:r w:rsidR="00A433EC">
      <w:rPr>
        <w:rFonts w:ascii="Calibri" w:hAnsi="Calibri" w:cs="Arial"/>
        <w:iCs/>
        <w:caps/>
        <w:sz w:val="20"/>
        <w:szCs w:val="20"/>
      </w:rPr>
      <w:t>X</w:t>
    </w:r>
    <w:r w:rsidR="00B80672">
      <w:rPr>
        <w:rFonts w:ascii="Calibri" w:hAnsi="Calibri" w:cs="Arial"/>
        <w:iCs/>
        <w:caps/>
        <w:sz w:val="20"/>
        <w:szCs w:val="20"/>
      </w:rPr>
      <w:t>I</w:t>
    </w:r>
    <w:r w:rsidRPr="008A7C2F">
      <w:rPr>
        <w:rFonts w:ascii="Calibri" w:hAnsi="Calibri" w:cs="Arial"/>
        <w:iCs/>
        <w:caps/>
        <w:sz w:val="20"/>
        <w:szCs w:val="20"/>
      </w:rPr>
      <w:t xml:space="preserve"> </w:t>
    </w:r>
    <w:r w:rsidR="007728A0">
      <w:rPr>
        <w:rFonts w:ascii="Calibri" w:hAnsi="Calibri" w:cs="Arial"/>
        <w:iCs/>
        <w:caps/>
        <w:sz w:val="20"/>
        <w:szCs w:val="20"/>
      </w:rPr>
      <w:t xml:space="preserve"> </w:t>
    </w:r>
    <w:r w:rsidRPr="008A7C2F">
      <w:rPr>
        <w:rFonts w:ascii="Calibri" w:hAnsi="Calibri" w:cs="Arial"/>
        <w:iCs/>
        <w:caps/>
        <w:sz w:val="20"/>
        <w:szCs w:val="20"/>
      </w:rPr>
      <w:t xml:space="preserve">Sympozjum </w:t>
    </w:r>
    <w:r w:rsidR="00060866">
      <w:rPr>
        <w:rFonts w:ascii="Calibri" w:hAnsi="Calibri" w:cs="Arial"/>
        <w:iCs/>
        <w:caps/>
        <w:sz w:val="20"/>
        <w:szCs w:val="20"/>
      </w:rPr>
      <w:t>“</w:t>
    </w:r>
    <w:r w:rsidR="009C2C8F">
      <w:rPr>
        <w:rFonts w:ascii="Calibri" w:hAnsi="Calibri" w:cs="Arial"/>
        <w:caps/>
        <w:sz w:val="20"/>
        <w:szCs w:val="20"/>
      </w:rPr>
      <w:t xml:space="preserve">INTERDYSCYPLINARNE </w:t>
    </w:r>
    <w:r w:rsidRPr="008A7C2F">
      <w:rPr>
        <w:rFonts w:ascii="Calibri" w:hAnsi="Calibri" w:cs="Arial"/>
        <w:caps/>
        <w:sz w:val="20"/>
        <w:szCs w:val="20"/>
      </w:rPr>
      <w:t>PROBLEMY CHIRURGII DZIECIĘCEJ</w:t>
    </w:r>
    <w:r w:rsidR="00060866">
      <w:rPr>
        <w:rFonts w:ascii="Calibri" w:hAnsi="Calibri" w:cs="Arial"/>
        <w:sz w:val="20"/>
        <w:szCs w:val="20"/>
      </w:rPr>
      <w:t xml:space="preserve">” </w:t>
    </w:r>
    <w:proofErr w:type="spellStart"/>
    <w:r w:rsidR="00060866">
      <w:rPr>
        <w:rFonts w:ascii="Calibri" w:hAnsi="Calibri" w:cs="Arial"/>
        <w:sz w:val="20"/>
        <w:szCs w:val="20"/>
      </w:rPr>
      <w:t>i</w:t>
    </w:r>
    <w:proofErr w:type="spellEnd"/>
  </w:p>
  <w:p w14:paraId="0154830B" w14:textId="1675B83C" w:rsidR="00DC4829" w:rsidRPr="008A7C2F" w:rsidRDefault="00DA48C2" w:rsidP="000A2451">
    <w:pPr>
      <w:jc w:val="center"/>
      <w:rPr>
        <w:rFonts w:ascii="Calibri" w:hAnsi="Calibri" w:cs="Arial"/>
        <w:bCs/>
        <w:caps/>
        <w:sz w:val="20"/>
        <w:szCs w:val="20"/>
      </w:rPr>
    </w:pPr>
    <w:r w:rsidRPr="008A7C2F">
      <w:rPr>
        <w:rFonts w:ascii="Calibri" w:hAnsi="Calibri" w:cs="Arial"/>
        <w:iCs/>
        <w:sz w:val="20"/>
        <w:szCs w:val="20"/>
      </w:rPr>
      <w:t xml:space="preserve"> </w:t>
    </w:r>
    <w:r w:rsidR="00B80672">
      <w:rPr>
        <w:rFonts w:ascii="Calibri" w:hAnsi="Calibri" w:cs="Arial"/>
        <w:iCs/>
        <w:sz w:val="20"/>
        <w:szCs w:val="20"/>
      </w:rPr>
      <w:t>XI</w:t>
    </w:r>
    <w:r w:rsidRPr="008A7C2F">
      <w:rPr>
        <w:rFonts w:ascii="Calibri" w:hAnsi="Calibri"/>
        <w:sz w:val="20"/>
        <w:szCs w:val="20"/>
        <w:lang w:eastAsia="pl-PL"/>
      </w:rPr>
      <w:t xml:space="preserve"> </w:t>
    </w:r>
    <w:r w:rsidR="000A2451">
      <w:rPr>
        <w:rFonts w:ascii="Calibri" w:hAnsi="Calibri"/>
        <w:sz w:val="20"/>
        <w:szCs w:val="20"/>
        <w:lang w:eastAsia="pl-PL"/>
      </w:rPr>
      <w:t>K</w:t>
    </w:r>
    <w:r w:rsidRPr="008A7C2F">
      <w:rPr>
        <w:rFonts w:ascii="Calibri" w:hAnsi="Calibri"/>
        <w:sz w:val="20"/>
        <w:szCs w:val="20"/>
        <w:lang w:eastAsia="pl-PL"/>
      </w:rPr>
      <w:t>ONFERENCJ</w:t>
    </w:r>
    <w:r w:rsidR="00A433EC">
      <w:rPr>
        <w:rFonts w:ascii="Calibri" w:hAnsi="Calibri"/>
        <w:sz w:val="20"/>
        <w:szCs w:val="20"/>
        <w:lang w:eastAsia="pl-PL"/>
      </w:rPr>
      <w:t>A</w:t>
    </w:r>
    <w:r w:rsidRPr="008A7C2F">
      <w:rPr>
        <w:rFonts w:ascii="Calibri" w:hAnsi="Calibri"/>
        <w:sz w:val="20"/>
        <w:szCs w:val="20"/>
        <w:lang w:eastAsia="pl-PL"/>
      </w:rPr>
      <w:t xml:space="preserve">  NAUKOWO-SZKOLENIOW</w:t>
    </w:r>
    <w:r w:rsidR="00A433EC">
      <w:rPr>
        <w:rFonts w:ascii="Calibri" w:hAnsi="Calibri"/>
        <w:sz w:val="20"/>
        <w:szCs w:val="20"/>
        <w:lang w:eastAsia="pl-PL"/>
      </w:rPr>
      <w:t>A</w:t>
    </w:r>
    <w:r w:rsidRPr="008A7C2F">
      <w:rPr>
        <w:rFonts w:ascii="Calibri" w:hAnsi="Calibri"/>
        <w:sz w:val="20"/>
        <w:szCs w:val="20"/>
        <w:lang w:eastAsia="pl-PL"/>
      </w:rPr>
      <w:t xml:space="preserve"> DLA MŁODYCH LEKARZY SPECJALIZUJĄCYCH SIĘ W CHIRURGII DZIECIĘCEJ </w:t>
    </w:r>
    <w:r w:rsidR="000A2451">
      <w:rPr>
        <w:rFonts w:ascii="Calibri" w:hAnsi="Calibri"/>
        <w:sz w:val="20"/>
        <w:szCs w:val="20"/>
        <w:lang w:eastAsia="pl-PL"/>
      </w:rPr>
      <w:t xml:space="preserve"> </w:t>
    </w:r>
    <w:r w:rsidR="00B80672">
      <w:rPr>
        <w:rFonts w:ascii="Calibri" w:hAnsi="Calibri"/>
        <w:sz w:val="20"/>
        <w:szCs w:val="20"/>
        <w:lang w:eastAsia="pl-PL"/>
      </w:rPr>
      <w:t>6</w:t>
    </w:r>
    <w:r w:rsidR="009C2C8F">
      <w:rPr>
        <w:rFonts w:ascii="Calibri" w:hAnsi="Calibri"/>
        <w:sz w:val="20"/>
        <w:szCs w:val="20"/>
        <w:lang w:eastAsia="pl-PL"/>
      </w:rPr>
      <w:t>-</w:t>
    </w:r>
    <w:r w:rsidR="00B80672">
      <w:rPr>
        <w:rFonts w:ascii="Calibri" w:hAnsi="Calibri"/>
        <w:sz w:val="20"/>
        <w:szCs w:val="20"/>
        <w:lang w:eastAsia="pl-PL"/>
      </w:rPr>
      <w:t>7</w:t>
    </w:r>
    <w:r w:rsidR="009C2C8F">
      <w:rPr>
        <w:rFonts w:ascii="Calibri" w:hAnsi="Calibri"/>
        <w:sz w:val="20"/>
        <w:szCs w:val="20"/>
        <w:lang w:eastAsia="pl-PL"/>
      </w:rPr>
      <w:t xml:space="preserve"> </w:t>
    </w:r>
    <w:r w:rsidR="00DC4829" w:rsidRPr="008A7C2F">
      <w:rPr>
        <w:rFonts w:ascii="Calibri" w:hAnsi="Calibri" w:cs="Arial"/>
        <w:bCs/>
        <w:caps/>
        <w:sz w:val="20"/>
        <w:szCs w:val="20"/>
      </w:rPr>
      <w:t>grudNIA 20</w:t>
    </w:r>
    <w:r w:rsidR="008D0079" w:rsidRPr="008A7C2F">
      <w:rPr>
        <w:rFonts w:ascii="Calibri" w:hAnsi="Calibri" w:cs="Arial"/>
        <w:bCs/>
        <w:caps/>
        <w:sz w:val="20"/>
        <w:szCs w:val="20"/>
      </w:rPr>
      <w:t>2</w:t>
    </w:r>
    <w:r w:rsidR="00B80672">
      <w:rPr>
        <w:rFonts w:ascii="Calibri" w:hAnsi="Calibri" w:cs="Arial"/>
        <w:bCs/>
        <w:caps/>
        <w:sz w:val="20"/>
        <w:szCs w:val="20"/>
      </w:rPr>
      <w:t>4</w:t>
    </w:r>
  </w:p>
  <w:p w14:paraId="2233E981" w14:textId="77777777" w:rsidR="00002DE8" w:rsidRPr="008A7C2F" w:rsidRDefault="00002DE8">
    <w:pPr>
      <w:pStyle w:val="Nagwek"/>
      <w:rPr>
        <w:rFonts w:ascii="Calibri" w:hAnsi="Calibri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7B3B6" w14:textId="77777777" w:rsidR="0055578C" w:rsidRDefault="005557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18"/>
    <w:rsid w:val="00002DE8"/>
    <w:rsid w:val="00014D98"/>
    <w:rsid w:val="00023636"/>
    <w:rsid w:val="0003740F"/>
    <w:rsid w:val="00060866"/>
    <w:rsid w:val="000A2451"/>
    <w:rsid w:val="000A6889"/>
    <w:rsid w:val="000C66B2"/>
    <w:rsid w:val="000D1797"/>
    <w:rsid w:val="000F2988"/>
    <w:rsid w:val="000F526D"/>
    <w:rsid w:val="000F55E1"/>
    <w:rsid w:val="00112696"/>
    <w:rsid w:val="00122031"/>
    <w:rsid w:val="00122CC8"/>
    <w:rsid w:val="00153002"/>
    <w:rsid w:val="001A5CFF"/>
    <w:rsid w:val="001E72CD"/>
    <w:rsid w:val="002260D4"/>
    <w:rsid w:val="00230650"/>
    <w:rsid w:val="00230B6D"/>
    <w:rsid w:val="0023655B"/>
    <w:rsid w:val="00291E06"/>
    <w:rsid w:val="002B143F"/>
    <w:rsid w:val="002C3360"/>
    <w:rsid w:val="002C56EA"/>
    <w:rsid w:val="00311B91"/>
    <w:rsid w:val="00324195"/>
    <w:rsid w:val="00335FBB"/>
    <w:rsid w:val="0039021B"/>
    <w:rsid w:val="003F7795"/>
    <w:rsid w:val="00404CB7"/>
    <w:rsid w:val="00407AE8"/>
    <w:rsid w:val="00410FD5"/>
    <w:rsid w:val="0041432C"/>
    <w:rsid w:val="00442127"/>
    <w:rsid w:val="00442F89"/>
    <w:rsid w:val="0044759F"/>
    <w:rsid w:val="00447A00"/>
    <w:rsid w:val="004506B1"/>
    <w:rsid w:val="0046473B"/>
    <w:rsid w:val="004D5474"/>
    <w:rsid w:val="005101D4"/>
    <w:rsid w:val="005142DC"/>
    <w:rsid w:val="00523022"/>
    <w:rsid w:val="005234B2"/>
    <w:rsid w:val="00523B71"/>
    <w:rsid w:val="00526E27"/>
    <w:rsid w:val="0052721F"/>
    <w:rsid w:val="0055578C"/>
    <w:rsid w:val="00592199"/>
    <w:rsid w:val="005C1A71"/>
    <w:rsid w:val="005C560A"/>
    <w:rsid w:val="005C6C18"/>
    <w:rsid w:val="005D2874"/>
    <w:rsid w:val="005E1660"/>
    <w:rsid w:val="005E4DF9"/>
    <w:rsid w:val="005F018A"/>
    <w:rsid w:val="005F6501"/>
    <w:rsid w:val="006061D8"/>
    <w:rsid w:val="00615659"/>
    <w:rsid w:val="00626B55"/>
    <w:rsid w:val="00630415"/>
    <w:rsid w:val="00632D77"/>
    <w:rsid w:val="00634EAC"/>
    <w:rsid w:val="00641614"/>
    <w:rsid w:val="00645F36"/>
    <w:rsid w:val="006F0CE7"/>
    <w:rsid w:val="006F5F4F"/>
    <w:rsid w:val="007021D8"/>
    <w:rsid w:val="00730295"/>
    <w:rsid w:val="0073328A"/>
    <w:rsid w:val="007728A0"/>
    <w:rsid w:val="00784CC8"/>
    <w:rsid w:val="007A21B3"/>
    <w:rsid w:val="007C5425"/>
    <w:rsid w:val="007F7521"/>
    <w:rsid w:val="00823ACD"/>
    <w:rsid w:val="00834B0D"/>
    <w:rsid w:val="008A7C2F"/>
    <w:rsid w:val="008B2E58"/>
    <w:rsid w:val="008D0079"/>
    <w:rsid w:val="008D1CCB"/>
    <w:rsid w:val="008E0655"/>
    <w:rsid w:val="00904769"/>
    <w:rsid w:val="00913501"/>
    <w:rsid w:val="009322BE"/>
    <w:rsid w:val="00932BFF"/>
    <w:rsid w:val="00957597"/>
    <w:rsid w:val="00992D2B"/>
    <w:rsid w:val="009C2C8F"/>
    <w:rsid w:val="009E189A"/>
    <w:rsid w:val="009E732E"/>
    <w:rsid w:val="009F2BA2"/>
    <w:rsid w:val="00A052AB"/>
    <w:rsid w:val="00A24361"/>
    <w:rsid w:val="00A268D3"/>
    <w:rsid w:val="00A41BDF"/>
    <w:rsid w:val="00A433EC"/>
    <w:rsid w:val="00A61B9A"/>
    <w:rsid w:val="00A77E3E"/>
    <w:rsid w:val="00A82101"/>
    <w:rsid w:val="00AC04DA"/>
    <w:rsid w:val="00AC1F09"/>
    <w:rsid w:val="00B4795A"/>
    <w:rsid w:val="00B55701"/>
    <w:rsid w:val="00B77477"/>
    <w:rsid w:val="00B80672"/>
    <w:rsid w:val="00BB0C22"/>
    <w:rsid w:val="00C000B8"/>
    <w:rsid w:val="00C01004"/>
    <w:rsid w:val="00C019C8"/>
    <w:rsid w:val="00C260B6"/>
    <w:rsid w:val="00CC6D5D"/>
    <w:rsid w:val="00CF7C26"/>
    <w:rsid w:val="00D56891"/>
    <w:rsid w:val="00D9716E"/>
    <w:rsid w:val="00DA00C1"/>
    <w:rsid w:val="00DA48C2"/>
    <w:rsid w:val="00DA56BC"/>
    <w:rsid w:val="00DB1D32"/>
    <w:rsid w:val="00DC4829"/>
    <w:rsid w:val="00DD5DB7"/>
    <w:rsid w:val="00E02DC9"/>
    <w:rsid w:val="00E125C4"/>
    <w:rsid w:val="00E828C4"/>
    <w:rsid w:val="00E846E2"/>
    <w:rsid w:val="00EC0A7E"/>
    <w:rsid w:val="00EC53FD"/>
    <w:rsid w:val="00ED20E1"/>
    <w:rsid w:val="00EE2A63"/>
    <w:rsid w:val="00F06621"/>
    <w:rsid w:val="00F21ECB"/>
    <w:rsid w:val="00F31ADF"/>
    <w:rsid w:val="00F762ED"/>
    <w:rsid w:val="00F7667C"/>
    <w:rsid w:val="00FA1B54"/>
    <w:rsid w:val="00FA597F"/>
    <w:rsid w:val="00FB7EA2"/>
    <w:rsid w:val="00FD4DB8"/>
    <w:rsid w:val="00FE0B42"/>
    <w:rsid w:val="00F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AB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  <w:lang w:val="en-GB" w:eastAsia="en-US"/>
    </w:rPr>
  </w:style>
  <w:style w:type="paragraph" w:styleId="Nagwek1">
    <w:name w:val="heading 1"/>
    <w:basedOn w:val="Normalny"/>
    <w:next w:val="Normalny"/>
    <w:qFormat/>
    <w:pPr>
      <w:outlineLvl w:val="0"/>
    </w:pPr>
    <w:rPr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18"/>
      <w:lang w:val="pl-PL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</w:style>
  <w:style w:type="paragraph" w:styleId="Nagwek">
    <w:name w:val="header"/>
    <w:basedOn w:val="Normalny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sid w:val="00992D2B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rsid w:val="00DA00C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A00C1"/>
    <w:rPr>
      <w:rFonts w:ascii="Arial" w:hAnsi="Arial"/>
      <w:lang w:val="en-GB" w:eastAsia="en-US"/>
    </w:rPr>
  </w:style>
  <w:style w:type="character" w:styleId="Odwoanieprzypisukocowego">
    <w:name w:val="endnote reference"/>
    <w:rsid w:val="00DA00C1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E189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  <w:lang w:val="en-GB" w:eastAsia="en-US"/>
    </w:rPr>
  </w:style>
  <w:style w:type="paragraph" w:styleId="Nagwek1">
    <w:name w:val="heading 1"/>
    <w:basedOn w:val="Normalny"/>
    <w:next w:val="Normalny"/>
    <w:qFormat/>
    <w:pPr>
      <w:outlineLvl w:val="0"/>
    </w:pPr>
    <w:rPr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18"/>
      <w:lang w:val="pl-PL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</w:style>
  <w:style w:type="paragraph" w:styleId="Nagwek">
    <w:name w:val="header"/>
    <w:basedOn w:val="Normalny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sid w:val="00992D2B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rsid w:val="00DA00C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A00C1"/>
    <w:rPr>
      <w:rFonts w:ascii="Arial" w:hAnsi="Arial"/>
      <w:lang w:val="en-GB" w:eastAsia="en-US"/>
    </w:rPr>
  </w:style>
  <w:style w:type="character" w:styleId="Odwoanieprzypisukocowego">
    <w:name w:val="endnote reference"/>
    <w:rsid w:val="00DA00C1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E1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.rogowska@usk.wroc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asialipa96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.a.biernat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.kalicinski@ipcz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1571</Words>
  <Characters>9429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Template</vt:lpstr>
    </vt:vector>
  </TitlesOfParts>
  <Company>Instytut "Pomnik - Centrum Zdrowia Dziecka"</Company>
  <LinksUpToDate>false</LinksUpToDate>
  <CharactersWithSpaces>10979</CharactersWithSpaces>
  <SharedDoc>false</SharedDoc>
  <HLinks>
    <vt:vector size="6" baseType="variant">
      <vt:variant>
        <vt:i4>8060929</vt:i4>
      </vt:variant>
      <vt:variant>
        <vt:i4>0</vt:i4>
      </vt:variant>
      <vt:variant>
        <vt:i4>0</vt:i4>
      </vt:variant>
      <vt:variant>
        <vt:i4>5</vt:i4>
      </vt:variant>
      <vt:variant>
        <vt:lpwstr>mailto:p.kalicinski@ipczd.pl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Kim Wilson</dc:creator>
  <cp:keywords/>
  <cp:lastModifiedBy>Przemysław Trzciński</cp:lastModifiedBy>
  <cp:revision>5</cp:revision>
  <cp:lastPrinted>2017-11-15T20:19:00Z</cp:lastPrinted>
  <dcterms:created xsi:type="dcterms:W3CDTF">2024-11-15T16:06:00Z</dcterms:created>
  <dcterms:modified xsi:type="dcterms:W3CDTF">2024-11-29T08:29:00Z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ximumWords">
    <vt:i4>250</vt:i4>
  </property>
</Properties>
</file>