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09775" cy="1704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751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C879C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  Najem powierzchni </w:t>
      </w:r>
      <w:r w:rsidRPr="00DB751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celu sprzedaży żywności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  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</w:t>
      </w:r>
      <w:r w:rsidR="00F43F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Warszawa, czerwiec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WYNAJMUJĄCY: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„Pomnik - Centrum Zdrowia Dziecka”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5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C87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 powierzchni</w:t>
      </w:r>
      <w:r w:rsidRPr="00DB75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celu sprzedaży żywności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  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pl-PL"/>
        </w:rPr>
      </w:pPr>
    </w:p>
    <w:p w:rsidR="00DB7513" w:rsidRDefault="00DB7513" w:rsidP="00DB7513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 terenu objętego konkursem:</w:t>
      </w:r>
    </w:p>
    <w:p w:rsidR="00DB7513" w:rsidRDefault="00DB7513" w:rsidP="00DB7513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A57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Łącznik Ł-7 </w:t>
      </w:r>
    </w:p>
    <w:p w:rsidR="00DB7513" w:rsidRDefault="00DB7513" w:rsidP="00DB751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:rsidR="00DB7513" w:rsidRDefault="00DB7513" w:rsidP="00DB751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DB7513" w:rsidRDefault="00DB7513" w:rsidP="00DB7513">
      <w:pPr>
        <w:widowControl w:val="0"/>
        <w:tabs>
          <w:tab w:val="num" w:pos="851"/>
          <w:tab w:val="num" w:pos="1380"/>
        </w:tabs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sz w:val="24"/>
          <w:szCs w:val="24"/>
          <w:lang w:eastAsia="pl-PL"/>
        </w:rPr>
        <w:t xml:space="preserve">    </w:t>
      </w:r>
    </w:p>
    <w:p w:rsidR="00DB7513" w:rsidRDefault="00DB7513" w:rsidP="00DB751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i miejsce składania ofert</w:t>
      </w:r>
    </w:p>
    <w:p w:rsidR="00DB7513" w:rsidRDefault="00DB7513" w:rsidP="00DB751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Dziale Logistyki, budynek „K” 1 piętro, pokój 111A  lub 112 B, w zamkniętej </w:t>
      </w:r>
      <w:r w:rsidR="001E2809">
        <w:rPr>
          <w:rFonts w:ascii="Times New Roman" w:eastAsia="Times New Roman" w:hAnsi="Times New Roman" w:cs="Times New Roman"/>
          <w:sz w:val="24"/>
          <w:szCs w:val="24"/>
          <w:lang w:eastAsia="pl-PL"/>
        </w:rPr>
        <w:t>kopercie w terminie do dnia 23</w:t>
      </w:r>
      <w:r w:rsidR="00B96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.06.2025 </w:t>
      </w:r>
      <w:r w:rsidR="00BD6B77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pocztową, mailem na adres podany w konkursie: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 osobiście.</w:t>
      </w:r>
    </w:p>
    <w:p w:rsidR="00DB7513" w:rsidRDefault="00DB7513" w:rsidP="00DB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DB7513" w:rsidRDefault="00DB7513" w:rsidP="00DB751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 Pomnik - Centrum Zdrowia Dziecka”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DB7513" w:rsidRDefault="00DB7513" w:rsidP="00DB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powinna być oznaczona następująco: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75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C87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 powierzchni</w:t>
      </w:r>
      <w:r w:rsidRPr="00DB75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celu sprzedaży żywności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</w:t>
      </w:r>
      <w:r w:rsidR="001E28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rmin otwarcia ofert –  23</w:t>
      </w:r>
      <w:r w:rsidR="009C37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.06.2025</w:t>
      </w:r>
      <w:bookmarkStart w:id="0" w:name="_GoBack"/>
      <w:bookmarkEnd w:id="0"/>
      <w:r w:rsidR="00BD6B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 godz. 12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05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budynek „K” p. 111 A </w:t>
      </w:r>
    </w:p>
    <w:p w:rsidR="00DB7513" w:rsidRDefault="00DB7513" w:rsidP="00DB751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B7513" w:rsidRDefault="00DB7513" w:rsidP="00DB7513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B7513" w:rsidRDefault="00DB7513" w:rsidP="00DB7513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 powinna zawierać:</w:t>
      </w:r>
    </w:p>
    <w:p w:rsidR="00DB7513" w:rsidRDefault="00DB7513" w:rsidP="00DB751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ind w:left="1083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a. Aktualny odpis z właściwego rejestru albo potwierdzenie o wpisie do Centralnej Ewidencji i Informacji o Działalności Gospodarczej Rzeczypospolitej Polskiej wystawione nie wcześniej niż 6 miesięcy przed upływem  terminu składania ofert.</w:t>
      </w:r>
    </w:p>
    <w:p w:rsidR="00DB7513" w:rsidRDefault="00DB7513" w:rsidP="00DB7513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DB7513" w:rsidRDefault="00DB7513" w:rsidP="00DB7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Kryteria oceny ofert:  najwyższa kwota netto za wynajęcie powierzchni.</w:t>
      </w:r>
    </w:p>
    <w:p w:rsidR="00DB7513" w:rsidRDefault="00DB7513" w:rsidP="00DB751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Ogłaszający konkurs nie dopuszcza możliwości składania ofert częściowych. 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DB7513" w:rsidRDefault="00DB7513" w:rsidP="00DB7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DB7513" w:rsidRDefault="00DB7513" w:rsidP="00DB751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B7513" w:rsidRDefault="00DB7513" w:rsidP="00DB7513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Do bezpośredniego kontaktowania się z najemcami, upoważnieni są:  </w:t>
      </w:r>
    </w:p>
    <w:p w:rsidR="00DB7513" w:rsidRDefault="00DB7513" w:rsidP="00DB75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DB7513" w:rsidRDefault="00DB7513" w:rsidP="00DB751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</w:t>
      </w:r>
    </w:p>
    <w:p w:rsidR="00DB7513" w:rsidRDefault="00DB7513" w:rsidP="00DB7513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 xml:space="preserve">      email: m.jablonski@ipczd.pl</w:t>
      </w:r>
    </w:p>
    <w:p w:rsidR="00DB7513" w:rsidRDefault="00DB7513" w:rsidP="00DB751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Zofia Szymoniczek – tel.(22) 815-15-20;</w:t>
      </w:r>
    </w:p>
    <w:p w:rsidR="00DB7513" w:rsidRDefault="00DB7513" w:rsidP="00DB7513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z.szymoniczek@ipczd.pl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B7513" w:rsidRDefault="00DB7513" w:rsidP="00DB75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DB7513" w:rsidRDefault="00DB7513" w:rsidP="00DB751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B7513" w:rsidRDefault="00DB7513" w:rsidP="00DB7513">
      <w:pPr>
        <w:pStyle w:val="Akapitzlist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a.  IPCZD zastrzega sobie prawo unieważnienia konkursu na każdym jego  etapie bez </w:t>
      </w:r>
    </w:p>
    <w:p w:rsidR="00DB7513" w:rsidRDefault="00DB7513" w:rsidP="00DB7513">
      <w:pPr>
        <w:pStyle w:val="Akapitzlist"/>
        <w:widowControl w:val="0"/>
        <w:autoSpaceDE w:val="0"/>
        <w:autoSpaceDN w:val="0"/>
        <w:ind w:left="90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podania przyczyn, a oferentom nie przysługują z tego tytułu żadne roszczenia. </w:t>
      </w:r>
    </w:p>
    <w:p w:rsidR="00DB7513" w:rsidRDefault="00DB7513" w:rsidP="00DB7513">
      <w:pPr>
        <w:pStyle w:val="Akapitzlist"/>
        <w:widowControl w:val="0"/>
        <w:numPr>
          <w:ilvl w:val="0"/>
          <w:numId w:val="5"/>
        </w:numPr>
        <w:autoSpaceDE w:val="0"/>
        <w:autoSpaceDN w:val="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b.  IPCZD przysługuje prawo swobodnego wyboru ofert, jeżeli uczestnicy konkursu   </w:t>
      </w:r>
    </w:p>
    <w:p w:rsidR="00DB7513" w:rsidRDefault="00DB7513" w:rsidP="00DB7513">
      <w:pPr>
        <w:pStyle w:val="Akapitzlist"/>
        <w:widowControl w:val="0"/>
        <w:autoSpaceDE w:val="0"/>
        <w:autoSpaceDN w:val="0"/>
        <w:ind w:left="90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zaoferowali tę samą cenę.</w:t>
      </w:r>
    </w:p>
    <w:p w:rsidR="00DB7513" w:rsidRDefault="00DB7513" w:rsidP="00DB751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c. IP CZD zastrzega sobie prawo odrzucenia wybranych ofert bez podania przyczyn,    </w:t>
      </w:r>
    </w:p>
    <w:p w:rsidR="00DB7513" w:rsidRDefault="00DB7513" w:rsidP="00DB751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  a oferentom nie przysługują z tego tytułu jakiekolwiek roszczenia.</w:t>
      </w:r>
    </w:p>
    <w:p w:rsidR="00DB7513" w:rsidRDefault="00DB7513" w:rsidP="00DB7513">
      <w:pPr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C879C2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Załącznik nr 1 </w:t>
      </w:r>
    </w:p>
    <w:p w:rsidR="00C879C2" w:rsidRDefault="00C879C2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879C2" w:rsidRDefault="00C879C2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879C2" w:rsidRDefault="00C879C2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ISTOTNE DLA OFERENTÓW</w:t>
      </w:r>
    </w:p>
    <w:p w:rsidR="00C879C2" w:rsidRDefault="00C879C2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1.Przeznaczenie powierzchni i lokalizacja:</w:t>
      </w:r>
    </w:p>
    <w:p w:rsidR="00DB7513" w:rsidRDefault="0003253E" w:rsidP="00C879C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BF3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ok. 2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łącznik</w:t>
      </w:r>
      <w:r w:rsidR="00202BF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Ł-7</w:t>
      </w:r>
      <w:r w:rsidR="00202B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7513" w:rsidRDefault="00DB7513" w:rsidP="00C879C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Wynajęcie </w:t>
      </w:r>
      <w:r w:rsidR="00032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dwóch godzin dziennie, wyłącznie w dni robocze.</w:t>
      </w:r>
    </w:p>
    <w:p w:rsidR="00DB7513" w:rsidRPr="00DB7513" w:rsidRDefault="00DB7513" w:rsidP="00C879C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Minimalny </w:t>
      </w:r>
      <w:r w:rsidR="00C87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czynsz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netto: 1 140,00 zł/m-c.</w:t>
      </w:r>
    </w:p>
    <w:p w:rsidR="00202BF3" w:rsidRDefault="00096BE5" w:rsidP="00202BF3">
      <w:pPr>
        <w:pStyle w:val="Akapitzlist"/>
        <w:numPr>
          <w:ilvl w:val="1"/>
          <w:numId w:val="6"/>
        </w:numPr>
        <w:spacing w:line="360" w:lineRule="auto"/>
      </w:pPr>
      <w:r>
        <w:t>Czas trwania umowy: 12 miesięcy.  począwszy od 01.08.2025</w:t>
      </w:r>
      <w:r w:rsidR="00DB7513" w:rsidRPr="00DB7513">
        <w:t xml:space="preserve"> r. </w:t>
      </w:r>
    </w:p>
    <w:p w:rsidR="00DB7513" w:rsidRPr="00202BF3" w:rsidRDefault="00DB7513" w:rsidP="00202BF3">
      <w:pPr>
        <w:pStyle w:val="Akapitzlist"/>
        <w:numPr>
          <w:ilvl w:val="1"/>
          <w:numId w:val="6"/>
        </w:numPr>
        <w:spacing w:line="360" w:lineRule="auto"/>
      </w:pPr>
      <w:r w:rsidRPr="00202BF3">
        <w:t xml:space="preserve">Zaleca się, aby przed złożeniem oferty Najemca przeprowadził wizję lokalną  </w:t>
      </w:r>
    </w:p>
    <w:p w:rsidR="00DB7513" w:rsidRDefault="00DB7513" w:rsidP="00C879C2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przedmiotowej powierzchni.</w:t>
      </w:r>
    </w:p>
    <w:p w:rsidR="00DB7513" w:rsidRDefault="00DB7513" w:rsidP="00C879C2">
      <w:pPr>
        <w:spacing w:after="0" w:line="36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Szczegółowe warunki realizacji w/w zadań zawarte są w projekcie umowy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DB7513" w:rsidRDefault="00DB7513" w:rsidP="00DB7513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B7513" w:rsidRDefault="00DB7513" w:rsidP="00DB7513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B7513" w:rsidRDefault="00DB7513" w:rsidP="00DB7513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B7513" w:rsidRDefault="00DB7513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</w:p>
    <w:p w:rsidR="00DB7513" w:rsidRDefault="00DB7513" w:rsidP="00DB7513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B7513" w:rsidRDefault="00DB7513" w:rsidP="00DB7513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</w:t>
      </w: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OFERTOWY</w:t>
      </w:r>
    </w:p>
    <w:p w:rsidR="00FE6A89" w:rsidRDefault="00FE6A89" w:rsidP="00DB751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79C2">
        <w:rPr>
          <w:rFonts w:ascii="Times New Roman" w:eastAsia="Times New Roman" w:hAnsi="Times New Roman" w:cs="Times New Roman"/>
          <w:sz w:val="24"/>
          <w:szCs w:val="24"/>
          <w:lang w:eastAsia="pl-PL"/>
        </w:rPr>
        <w:t>najmu powierzchni w celu sprzedaży żywności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…………………………., składam ofertę w imieniu: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DB7513" w:rsidRDefault="00DB7513" w:rsidP="00DB7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Pr="00C879C2" w:rsidRDefault="00DB7513" w:rsidP="00DB751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</w:t>
      </w:r>
      <w:r w:rsidR="00C879C2">
        <w:rPr>
          <w:rFonts w:ascii="Times New Roman" w:eastAsia="Times New Roman" w:hAnsi="Times New Roman" w:cs="Times New Roman"/>
          <w:sz w:val="24"/>
          <w:szCs w:val="24"/>
          <w:lang w:eastAsia="pl-PL"/>
        </w:rPr>
        <w:t>ięczny czynsz netto  w wysokości: ………… (słownie:…………………….).</w:t>
      </w:r>
    </w:p>
    <w:p w:rsidR="00DB7513" w:rsidRDefault="00DB7513" w:rsidP="00DB751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..............................................</w:t>
      </w:r>
    </w:p>
    <w:p w:rsidR="00DB7513" w:rsidRDefault="00DB7513" w:rsidP="00DB751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DB7513" w:rsidRDefault="00DB7513" w:rsidP="00DB751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zmian przez Wynajmującego.</w:t>
      </w:r>
    </w:p>
    <w:p w:rsidR="00DB7513" w:rsidRDefault="00DB7513" w:rsidP="00DB751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DB7513" w:rsidRDefault="00DB7513" w:rsidP="00DB751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</w:t>
      </w:r>
    </w:p>
    <w:p w:rsidR="00DB7513" w:rsidRDefault="00DB7513" w:rsidP="00DB7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reprezentującej firmę)</w:t>
      </w:r>
    </w:p>
    <w:p w:rsidR="00BF6B82" w:rsidRPr="00366315" w:rsidRDefault="00DB7513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>
        <w:lastRenderedPageBreak/>
        <w:tab/>
      </w:r>
      <w:r>
        <w:tab/>
      </w:r>
      <w:r>
        <w:tab/>
      </w:r>
      <w:r w:rsidR="00332E6D">
        <w:t xml:space="preserve">                                                                                                       </w:t>
      </w:r>
      <w:r w:rsidR="00BF6B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BF6B82" w:rsidRPr="00BF6B82" w:rsidRDefault="00BF6B82" w:rsidP="00332E6D">
      <w:pPr>
        <w:spacing w:after="120" w:line="48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  ………..         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/projekt/                     </w:t>
      </w:r>
    </w:p>
    <w:p w:rsidR="00BF6B82" w:rsidRPr="00BF6B82" w:rsidRDefault="00BF6B82" w:rsidP="00332E6D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 w:rsidRPr="00BF6B82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zawarta w Warszawie w dniu .................... r.,</w:t>
      </w:r>
    </w:p>
    <w:p w:rsidR="00BF6B82" w:rsidRPr="00BF6B82" w:rsidRDefault="00BF6B82" w:rsidP="00332E6D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 w:rsidRPr="00BF6B82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pomiędzy:</w:t>
      </w:r>
    </w:p>
    <w:p w:rsidR="00BF6B82" w:rsidRPr="00BF6B82" w:rsidRDefault="00BF6B82" w:rsidP="00332E6D">
      <w:pPr>
        <w:widowControl w:val="0"/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 w:rsidRPr="00BF6B82">
        <w:rPr>
          <w:rFonts w:ascii="TimesNewRomanPS" w:eastAsia="Times New Roman" w:hAnsi="TimesNewRomanPS" w:cs="Times New Roman"/>
          <w:b/>
          <w:color w:val="000000"/>
          <w:sz w:val="24"/>
          <w:szCs w:val="24"/>
          <w:lang w:eastAsia="pl-PL"/>
        </w:rPr>
        <w:t>Instytutem „Pomnik-Centrum Zdrowia Dziecka”</w:t>
      </w:r>
      <w:r w:rsidRPr="00BF6B82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, instytutem badawczym, z siedzibą </w:t>
      </w:r>
      <w:r w:rsidRPr="00BF6B82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  <w:t xml:space="preserve">w Warszawie 04-730, przy Al. Dzieci Polskich 20, wpisanym do rejestru przedsiębiorców prowadzonego przez Sąd Rejonowy dla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m.st. Warszawy w Warszawie, XIV</w:t>
      </w:r>
      <w:r w:rsidRPr="00BF6B82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Wydział Gospodarczy KRS, pod nr 0000092381, NIP 952-11-43-675, REGON 000557961, zwanym dalej </w:t>
      </w:r>
      <w:r w:rsidRPr="00BF6B82">
        <w:rPr>
          <w:rFonts w:ascii="TimesNewRomanPS" w:eastAsia="Times New Roman" w:hAnsi="TimesNewRomanPS" w:cs="Times New Roman"/>
          <w:b/>
          <w:color w:val="000000"/>
          <w:sz w:val="24"/>
          <w:szCs w:val="24"/>
          <w:lang w:eastAsia="pl-PL"/>
        </w:rPr>
        <w:t>„IP CZD”,</w:t>
      </w:r>
      <w:r w:rsidRPr="00BF6B82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 który reprezentuje:</w:t>
      </w:r>
    </w:p>
    <w:p w:rsidR="00BF6B82" w:rsidRPr="00BF6B82" w:rsidRDefault="00366315" w:rsidP="00332E6D">
      <w:pPr>
        <w:widowControl w:val="0"/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……………………………………..</w:t>
      </w:r>
      <w:r w:rsidR="00BF6B82" w:rsidRPr="00BF6B82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w dalszej części umowy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„Korzystającym”.                                                         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</w:p>
    <w:p w:rsidR="00366315" w:rsidRDefault="00BF6B82" w:rsidP="00332E6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B82" w:rsidRPr="00BF6B82" w:rsidRDefault="00BF6B82" w:rsidP="00332E6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03253E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1. IP CZD umożliwia Korzystającemu wejście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 Instytutu (Łącznik Ł-7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032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udostępnienie </w:t>
      </w:r>
    </w:p>
    <w:p w:rsidR="00BF6B82" w:rsidRPr="00BF6B82" w:rsidRDefault="0003253E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BF6B82"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 celu </w:t>
      </w:r>
      <w:r w:rsidR="00BF6B82"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żywności.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2. Czas przebywania na terenie 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CZD ustala się na maksymalnie 2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godziny, wyłącznie w dni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robocze.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3. Korzystający zobowiązuje się do uiszczania opłaty, zgodnie z § 2 Umowy.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BF6B82" w:rsidRDefault="00BF6B82" w:rsidP="000D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1. Opłatę za wejści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ustala się w wysokości netto: ………….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plus należny     </w:t>
      </w:r>
    </w:p>
    <w:p w:rsidR="00BF6B82" w:rsidRPr="00BF6B82" w:rsidRDefault="00BF6B82" w:rsidP="000D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VAT, co wynosi ……………. zł brutto.</w:t>
      </w:r>
    </w:p>
    <w:p w:rsidR="00BF6B82" w:rsidRPr="00BF6B82" w:rsidRDefault="00BF6B82" w:rsidP="000D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Opłatę wraz 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>z należnym podatkiem VAT Korzystający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uiszczać z góry w terminie 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BF6B82" w:rsidRPr="00BF6B82" w:rsidRDefault="00BF6B82" w:rsidP="000D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 za dany miesiąc.</w:t>
      </w:r>
    </w:p>
    <w:p w:rsidR="00BF6B82" w:rsidRDefault="00BF6B82" w:rsidP="000D3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3. Za dzień zapłaty uważany będzie dzień wpływu środków na konto IP CZD.</w:t>
      </w:r>
    </w:p>
    <w:p w:rsidR="00BF6B82" w:rsidRDefault="00BF6B82" w:rsidP="000D3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3663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Korzystający zobowiązany jest do prowadzenia godnie z przeznaczeniem i utrzymania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porządku i czystości na terenie Instytutu.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Dopuszczalna jest sprzedaż przez Korzystającego jedynie </w:t>
      </w:r>
      <w:r w:rsidR="00032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paczkowanej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663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4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Wszelkie koszty wynikające z zawarcia umowy ponosi Korzystający.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2. Korzystający ponosi całkowitą odpowiedzialność w trakcie p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>rzebywania na terenie Instytutu: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mienie, w tym jego utratę, zniszczenie, uszkodzenie, kradzież itd.,</w:t>
      </w:r>
    </w:p>
    <w:p w:rsidR="0003253E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</w:t>
      </w:r>
      <w:r w:rsidR="00032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swoich pracowników i osób któr</w:t>
      </w:r>
      <w:r w:rsidR="00032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 posługuje się w wykonywanej    </w:t>
      </w:r>
    </w:p>
    <w:p w:rsidR="00BF6B82" w:rsidRPr="00BF6B82" w:rsidRDefault="0003253E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F6B82"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siebie działalności,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skutki zdarzeń w stosunku do osób trzecich.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3. Korzystający zobowiązany jest do ponoszenia opłat za wjazd pojazdów na teren Instytutu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według aktualnych stawek podanych w reg</w:t>
      </w:r>
      <w:r w:rsidR="00D64938">
        <w:rPr>
          <w:rFonts w:ascii="Times New Roman" w:eastAsia="Times New Roman" w:hAnsi="Times New Roman" w:cs="Times New Roman"/>
          <w:sz w:val="24"/>
          <w:szCs w:val="24"/>
          <w:lang w:eastAsia="pl-PL"/>
        </w:rPr>
        <w:t>ulaminie parkingów IPCZD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             </w:t>
      </w:r>
    </w:p>
    <w:p w:rsidR="00366315" w:rsidRDefault="00BF6B82" w:rsidP="00332E6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6B82" w:rsidRPr="00BF6B82" w:rsidRDefault="00BF6B82" w:rsidP="00332E6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>czas 12 miesięcy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</w:t>
      </w:r>
      <w:r w:rsidR="00FE6A89">
        <w:rPr>
          <w:rFonts w:ascii="Times New Roman" w:eastAsia="Times New Roman" w:hAnsi="Times New Roman" w:cs="Times New Roman"/>
          <w:sz w:val="24"/>
          <w:szCs w:val="24"/>
          <w:lang w:eastAsia="pl-PL"/>
        </w:rPr>
        <w:t>owiązuje od dnia ………………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IPCZD  ma prawo rozwiązać umowę za jednomiesięcznym wypowiedzeniem, ze skutkiem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 koniec miesiąca, bez podania przyczyn.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 zgodą Stron umowa może być rozwiązana w każdym czasie.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B82" w:rsidRPr="00BF6B82" w:rsidRDefault="00BF6B82" w:rsidP="00332E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6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IP CZD przysługuje prawo kontroli Przedmiotu Najmu i realizacji Umowy.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7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Umowy należy do Sądu właściwego dla siedziby IPCZD. 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BF6B82" w:rsidRPr="00BF6B82" w:rsidRDefault="00BF6B82" w:rsidP="00332E6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§ 9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1.Wszelkie zawiadomienia lub inne informacje będą dokonywane na piśmie i doręczane osobiście lub listem poleconym za potwierdzeniem odbioru, na następujące adresy: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IP CZD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  Instytut „Pomnik Centrum Zdrowia Dziecka” Al. Dzieci Polskich 20,</w:t>
      </w:r>
    </w:p>
    <w:p w:rsidR="00BF6B82" w:rsidRPr="00BF6B82" w:rsidRDefault="00BF6B82" w:rsidP="00332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04-730 Warszawa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Korzystający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  …………………………………………………………………………..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środków komunikacji elektronicznej na podane adresy email: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IP CZD: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7" w:history="1">
        <w:r w:rsidRPr="00BF6B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z.szymoniczek@ipczd.pl</w:t>
        </w:r>
      </w:hyperlink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Korzystający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2. Strony zobowiązują się do każdorazowego powiadamiania o zmianie swojego adresu.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Zmiana adresu danej Strony jest skuteczna od chwili doręczenia drugiej ze Stron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powiadomienia o takiej zmianie i nie wymaga zmiany Umowy. Brak powiadomienia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o zmianie adresu skutkuje uznaniem pisma za doręczone na dotychczasowy adres.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nieodebrania przesyłki lub wiadomości wysłanej na prawidłowy adres, uważa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się ją za: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doręczoną, z chwilą dokonania pierwszej bezskutecznej próby doręczenia w przypadku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przesyłki lub z chwilą wysłania drogą elektroniczną w przypadku wiadomości email.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Postanowienia ust. 2 i ust. 3 mają odpowiednie zastosowanie do doręczenia korespondencji </w:t>
      </w:r>
    </w:p>
    <w:p w:rsidR="00BF6B82" w:rsidRP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formie dokumentowej.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</w:t>
      </w:r>
      <w:r w:rsidR="00332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BF6B82" w:rsidRDefault="00BF6B82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</w:t>
      </w:r>
      <w:r w:rsidR="00332E6D">
        <w:rPr>
          <w:rFonts w:ascii="Times New Roman" w:eastAsia="Times New Roman" w:hAnsi="Times New Roman" w:cs="Times New Roman"/>
          <w:sz w:val="24"/>
          <w:szCs w:val="24"/>
          <w:lang w:eastAsia="pl-PL"/>
        </w:rPr>
        <w:t>orządzono w dwóch jednobrzmiącyc</w:t>
      </w:r>
      <w:r w:rsidRPr="00BF6B82">
        <w:rPr>
          <w:rFonts w:ascii="Times New Roman" w:eastAsia="Times New Roman" w:hAnsi="Times New Roman" w:cs="Times New Roman"/>
          <w:sz w:val="24"/>
          <w:szCs w:val="24"/>
          <w:lang w:eastAsia="pl-PL"/>
        </w:rPr>
        <w:t>h egzemplarzach</w:t>
      </w:r>
      <w:r w:rsidR="00332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jednym dla każdej ze Stron.</w:t>
      </w:r>
    </w:p>
    <w:p w:rsidR="00332E6D" w:rsidRDefault="00332E6D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E6D" w:rsidRDefault="00332E6D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6A89" w:rsidRDefault="00FE6A89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6A89" w:rsidRDefault="00FE6A89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E6D" w:rsidRPr="00BF6B82" w:rsidRDefault="00332E6D" w:rsidP="0033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E6D" w:rsidRPr="00BF6B82" w:rsidRDefault="00BF6B82" w:rsidP="00BF6B82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FE6A89" w:rsidRDefault="00BF6B82" w:rsidP="0036631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IP CZD: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KORZYSTAJĄCY:</w:t>
      </w:r>
      <w:r w:rsidRPr="00BF6B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B7513">
        <w:tab/>
      </w:r>
      <w:r w:rsidR="00DB7513">
        <w:tab/>
      </w:r>
      <w:r w:rsidR="00DB7513">
        <w:tab/>
      </w:r>
      <w:r w:rsidR="00DB7513">
        <w:tab/>
      </w:r>
      <w:r w:rsidR="00DB7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FE6A89" w:rsidRDefault="00FE6A89" w:rsidP="0036631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513" w:rsidRPr="00366315" w:rsidRDefault="00DB7513" w:rsidP="0036631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2E6D" w:rsidRDefault="00DB7513" w:rsidP="00DB75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Klauzula informacyjna</w:t>
      </w:r>
    </w:p>
    <w:p w:rsidR="00DB7513" w:rsidRDefault="00DB7513" w:rsidP="00DB75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 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t>dotycząca przetwarzania danych osobowych</w:t>
      </w:r>
      <w:r>
        <w:rPr>
          <w:rFonts w:ascii="Calibri" w:eastAsia="Times New Roman" w:hAnsi="Calibri" w:cs="Times New Roman"/>
          <w:lang w:eastAsia="pl-PL"/>
        </w:rPr>
        <w:t xml:space="preserve"> osób reprezentujących strony umowy  oraz osób wskazanych przez strony  jako osoby do kontaktu/osoby odpowiedzialne za wykonanie umowy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Zgodnie z art. 13 ust. 1 i 2</w:t>
      </w:r>
      <w:r>
        <w:rPr>
          <w:rFonts w:ascii="Calibri" w:eastAsia="Times New Roman" w:hAnsi="Calibri" w:cs="Calibri"/>
          <w:spacing w:val="26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Rozporządzenia </w:t>
      </w:r>
      <w:r>
        <w:rPr>
          <w:rFonts w:ascii="Calibri" w:eastAsia="Times New Roman" w:hAnsi="Calibri" w:cs="Calibri"/>
          <w:spacing w:val="13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Parlamentu </w:t>
      </w:r>
      <w:r>
        <w:rPr>
          <w:rFonts w:ascii="Calibri" w:eastAsia="Times New Roman" w:hAnsi="Calibri" w:cs="Calibri"/>
          <w:spacing w:val="2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Europejskiego</w:t>
      </w:r>
      <w:r>
        <w:rPr>
          <w:rFonts w:ascii="Calibri" w:eastAsia="Times New Roman" w:hAnsi="Calibri" w:cs="Calibri"/>
          <w:spacing w:val="39"/>
          <w:lang w:eastAsia="pl-PL"/>
        </w:rPr>
        <w:t xml:space="preserve"> i </w:t>
      </w:r>
      <w:r>
        <w:rPr>
          <w:rFonts w:ascii="Calibri" w:eastAsia="Times New Roman" w:hAnsi="Calibri" w:cs="Calibri"/>
          <w:lang w:eastAsia="pl-PL"/>
        </w:rPr>
        <w:t>Rady</w:t>
      </w:r>
      <w:r>
        <w:rPr>
          <w:rFonts w:ascii="Calibri" w:eastAsia="Times New Roman" w:hAnsi="Calibri" w:cs="Calibri"/>
          <w:spacing w:val="42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(</w:t>
      </w:r>
      <w:r>
        <w:rPr>
          <w:rFonts w:ascii="Calibri" w:eastAsia="Times New Roman" w:hAnsi="Calibri" w:cs="Calibri"/>
          <w:spacing w:val="23"/>
          <w:lang w:eastAsia="pl-PL"/>
        </w:rPr>
        <w:t>U</w:t>
      </w:r>
      <w:r>
        <w:rPr>
          <w:rFonts w:ascii="Calibri" w:eastAsia="Times New Roman" w:hAnsi="Calibri" w:cs="Calibri"/>
          <w:lang w:eastAsia="pl-PL"/>
        </w:rPr>
        <w:t>E)</w:t>
      </w:r>
      <w:r>
        <w:rPr>
          <w:rFonts w:ascii="Calibri" w:eastAsia="Times New Roman" w:hAnsi="Calibri" w:cs="Calibri"/>
          <w:spacing w:val="2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2016/679</w:t>
      </w:r>
      <w:r>
        <w:rPr>
          <w:rFonts w:ascii="Calibri" w:eastAsia="Times New Roman" w:hAnsi="Calibri" w:cs="Calibri"/>
          <w:spacing w:val="4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</w:t>
      </w:r>
      <w:r>
        <w:rPr>
          <w:rFonts w:ascii="Calibri" w:eastAsia="Times New Roman" w:hAnsi="Calibri" w:cs="Calibri"/>
          <w:spacing w:val="21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dnia</w:t>
      </w:r>
      <w:r>
        <w:rPr>
          <w:rFonts w:ascii="Calibri" w:eastAsia="Times New Roman" w:hAnsi="Calibri" w:cs="Calibri"/>
          <w:spacing w:val="26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27</w:t>
      </w:r>
      <w:r>
        <w:rPr>
          <w:rFonts w:ascii="Calibri" w:eastAsia="Times New Roman" w:hAnsi="Calibri" w:cs="Calibri"/>
          <w:spacing w:val="3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kwietnia</w:t>
      </w:r>
      <w:r>
        <w:rPr>
          <w:rFonts w:ascii="Calibri" w:eastAsia="Times New Roman" w:hAnsi="Calibri" w:cs="Calibri"/>
          <w:spacing w:val="44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2016</w:t>
      </w:r>
      <w:r>
        <w:rPr>
          <w:rFonts w:ascii="Calibri" w:eastAsia="Times New Roman" w:hAnsi="Calibri" w:cs="Calibri"/>
          <w:spacing w:val="34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roku w</w:t>
      </w:r>
      <w:r>
        <w:rPr>
          <w:rFonts w:ascii="Calibri" w:eastAsia="Times New Roman" w:hAnsi="Calibri" w:cs="Calibri"/>
          <w:spacing w:val="2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sprawie</w:t>
      </w:r>
      <w:r>
        <w:rPr>
          <w:rFonts w:ascii="Calibri" w:eastAsia="Times New Roman" w:hAnsi="Calibri" w:cs="Calibri"/>
          <w:spacing w:val="2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ochrony</w:t>
      </w:r>
      <w:r>
        <w:rPr>
          <w:rFonts w:ascii="Calibri" w:eastAsia="Times New Roman" w:hAnsi="Calibri" w:cs="Calibri"/>
          <w:spacing w:val="3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osób</w:t>
      </w:r>
      <w:r>
        <w:rPr>
          <w:rFonts w:ascii="Calibri" w:eastAsia="Times New Roman" w:hAnsi="Calibri" w:cs="Calibri"/>
          <w:spacing w:val="1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fizycznych</w:t>
      </w:r>
      <w:r>
        <w:rPr>
          <w:rFonts w:ascii="Calibri" w:eastAsia="Times New Roman" w:hAnsi="Calibri" w:cs="Calibri"/>
          <w:spacing w:val="4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w</w:t>
      </w:r>
      <w:r>
        <w:rPr>
          <w:rFonts w:ascii="Calibri" w:eastAsia="Times New Roman" w:hAnsi="Calibri" w:cs="Calibri"/>
          <w:spacing w:val="2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związku</w:t>
      </w:r>
      <w:r>
        <w:rPr>
          <w:rFonts w:ascii="Calibri" w:eastAsia="Times New Roman" w:hAnsi="Calibri" w:cs="Calibri"/>
          <w:spacing w:val="37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</w:t>
      </w:r>
      <w:r>
        <w:rPr>
          <w:rFonts w:ascii="Calibri" w:eastAsia="Times New Roman" w:hAnsi="Calibri" w:cs="Calibri"/>
          <w:w w:val="10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przetwarzaniem </w:t>
      </w:r>
      <w:r>
        <w:rPr>
          <w:rFonts w:ascii="Calibri" w:eastAsia="Times New Roman" w:hAnsi="Calibri" w:cs="Calibri"/>
          <w:spacing w:val="27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danych </w:t>
      </w:r>
      <w:r>
        <w:rPr>
          <w:rFonts w:ascii="Calibri" w:eastAsia="Times New Roman" w:hAnsi="Calibri" w:cs="Calibri"/>
          <w:spacing w:val="4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osobowych i </w:t>
      </w:r>
      <w:r>
        <w:rPr>
          <w:rFonts w:ascii="Calibri" w:eastAsia="Arial" w:hAnsi="Calibri" w:cs="Calibri"/>
          <w:spacing w:val="-99"/>
          <w:w w:val="225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w</w:t>
      </w:r>
      <w:r>
        <w:rPr>
          <w:rFonts w:ascii="Calibri" w:eastAsia="Times New Roman" w:hAnsi="Calibri" w:cs="Calibri"/>
          <w:spacing w:val="5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sprawie</w:t>
      </w:r>
      <w:r>
        <w:rPr>
          <w:rFonts w:ascii="Calibri" w:eastAsia="Times New Roman" w:hAnsi="Calibri" w:cs="Calibri"/>
          <w:spacing w:val="44"/>
          <w:lang w:eastAsia="pl-PL"/>
        </w:rPr>
        <w:t xml:space="preserve"> </w:t>
      </w:r>
      <w:r>
        <w:rPr>
          <w:rFonts w:ascii="Calibri" w:eastAsia="Times New Roman" w:hAnsi="Calibri" w:cs="Calibri"/>
          <w:spacing w:val="-3"/>
          <w:lang w:eastAsia="pl-PL"/>
        </w:rPr>
        <w:t>sw</w:t>
      </w:r>
      <w:r>
        <w:rPr>
          <w:rFonts w:ascii="Calibri" w:eastAsia="Times New Roman" w:hAnsi="Calibri" w:cs="Calibri"/>
          <w:spacing w:val="-2"/>
          <w:lang w:eastAsia="pl-PL"/>
        </w:rPr>
        <w:t>obodnego</w:t>
      </w:r>
      <w:r>
        <w:rPr>
          <w:rFonts w:ascii="Calibri" w:eastAsia="Times New Roman" w:hAnsi="Calibri" w:cs="Calibri"/>
          <w:spacing w:val="36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przepływ</w:t>
      </w:r>
      <w:r>
        <w:rPr>
          <w:rFonts w:ascii="Calibri" w:eastAsia="Times New Roman" w:hAnsi="Calibri" w:cs="Calibri"/>
          <w:spacing w:val="-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takich </w:t>
      </w:r>
      <w:r>
        <w:rPr>
          <w:rFonts w:ascii="Calibri" w:eastAsia="Times New Roman" w:hAnsi="Calibri" w:cs="Calibri"/>
          <w:spacing w:val="13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danych </w:t>
      </w:r>
      <w:r>
        <w:rPr>
          <w:rFonts w:ascii="Calibri" w:eastAsia="Times New Roman" w:hAnsi="Calibri" w:cs="Calibri"/>
          <w:spacing w:val="18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oraz</w:t>
      </w:r>
      <w:r>
        <w:rPr>
          <w:rFonts w:ascii="Calibri" w:eastAsia="Times New Roman" w:hAnsi="Calibri" w:cs="Calibri"/>
          <w:spacing w:val="45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uchylenia</w:t>
      </w:r>
      <w:r>
        <w:rPr>
          <w:rFonts w:ascii="Calibri" w:eastAsia="Times New Roman" w:hAnsi="Calibri" w:cs="Calibri"/>
          <w:spacing w:val="23"/>
          <w:w w:val="101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Dyrektywy </w:t>
      </w:r>
      <w:r>
        <w:rPr>
          <w:rFonts w:ascii="Calibri" w:eastAsia="Times New Roman" w:hAnsi="Calibri" w:cs="Calibri"/>
          <w:spacing w:val="9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95/46/WE</w:t>
      </w:r>
      <w:r>
        <w:rPr>
          <w:rFonts w:ascii="Calibri" w:eastAsia="Times New Roman" w:hAnsi="Calibri" w:cs="Calibri"/>
          <w:spacing w:val="4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(zwanego „RODO'') </w:t>
      </w:r>
      <w:r>
        <w:rPr>
          <w:rFonts w:ascii="Calibri" w:eastAsia="Times New Roman" w:hAnsi="Calibri" w:cs="Times New Roman"/>
          <w:lang w:eastAsia="pl-PL"/>
        </w:rPr>
        <w:t>informujemy Państwa, że: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noProof/>
          <w:lang w:eastAsia="pl-PL"/>
        </w:rPr>
      </w:pP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1.  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2. W instytucie został wyznaczony Inspektor Ochrony Danych, z którym można skontaktować się poprzez adres email </w:t>
      </w:r>
      <w:hyperlink r:id="rId8" w:history="1">
        <w:r>
          <w:rPr>
            <w:rStyle w:val="Hipercze"/>
            <w:rFonts w:ascii="Calibri" w:eastAsia="Times New Roman" w:hAnsi="Calibri" w:cs="Calibri"/>
            <w:color w:val="auto"/>
            <w:u w:val="none"/>
            <w:lang w:eastAsia="pl-PL"/>
          </w:rPr>
          <w:t>iod@ipczd.pl</w:t>
        </w:r>
      </w:hyperlink>
      <w:r>
        <w:rPr>
          <w:rFonts w:ascii="Calibri" w:eastAsia="Times New Roman" w:hAnsi="Calibri" w:cs="Times New Roman"/>
          <w:lang w:eastAsia="pl-PL"/>
        </w:rPr>
        <w:t xml:space="preserve"> lub pisemnie na adres Administratora Danych.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3. Państwa dane osobowe będą przetwarzane na podstawie art.6 akapit 1 lit f) RODO.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Przetwarzanie Państwa danych osobowych odbywa się w celu zawarcia i realizacji umowy, której stronę Państwo reprezentują.  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4. Państwa dane osobowe są lub mogą być przekazywane następującym kategoriom odbiorców: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a) dostawcom usług zaopatrującym Administratora Danych Osobowych w rozwiązania techniczne oraz organizacyjne umożliwiające zarządzanie organizacją Administratora Danych Osobowych 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b) dostawcom usług prawnych oraz wpierającym Administratora Danych Osobowych w dochodzeniu należnych roszczeń.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c) instytucjom państwowym upoważnionym z mocy prawa.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5. Administrator Danych Osobowych przechowuje Państwa dane osobowe przez okres wskazany w przepisach ustawy z  dnia 14 lipca 1983 r. </w:t>
      </w:r>
      <w:r>
        <w:rPr>
          <w:rFonts w:ascii="Calibri" w:eastAsia="Times New Roman" w:hAnsi="Calibri" w:cs="Times New Roman"/>
          <w:iCs/>
          <w:lang w:eastAsia="pl-PL"/>
        </w:rPr>
        <w:t>o narodowym zasobie archiwalnym i archiwach (t. j. Dz. U. z 2020 poz. 164)</w:t>
      </w:r>
      <w:r>
        <w:rPr>
          <w:rFonts w:ascii="Calibri" w:eastAsia="Times New Roman" w:hAnsi="Calibri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6. Podanie przez Państwa danych osobowych jest dobrowolne. Nie podanie danych uniemożliwi zawarcie i wykonanie umowy.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7. 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celu skorzystania z powyższych praw, należy skontaktować się poprzez kanały komunikacji wskazane w pkt 1 i 2 powyżej.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8. Państwa dane osobowe nie podlegają zautomatyzowanemu podejmowaniu decyzji, w tym profilowaniu. </w:t>
      </w:r>
    </w:p>
    <w:p w:rsidR="00DB7513" w:rsidRDefault="00DB7513" w:rsidP="00332E6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9. Przysługuje Państwu prawo do wniesienia skargi do organu nadzorczego w zakresie przetwarzania danych osobowych, tj. Prezesa Urzędu ochrony Danych Osobowych.</w:t>
      </w: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7513" w:rsidRDefault="00DB7513" w:rsidP="00DB7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3C8B" w:rsidRDefault="005C3C8B"/>
    <w:sectPr w:rsidR="005C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951"/>
    <w:multiLevelType w:val="hybridMultilevel"/>
    <w:tmpl w:val="F74E22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3815"/>
    <w:multiLevelType w:val="hybridMultilevel"/>
    <w:tmpl w:val="069E20B2"/>
    <w:lvl w:ilvl="0" w:tplc="6D7A4106">
      <w:start w:val="8"/>
      <w:numFmt w:val="decimal"/>
      <w:lvlText w:val="%1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AC46187"/>
    <w:multiLevelType w:val="hybridMultilevel"/>
    <w:tmpl w:val="1EC6F9AE"/>
    <w:lvl w:ilvl="0" w:tplc="50B227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E105BBF"/>
    <w:multiLevelType w:val="hybridMultilevel"/>
    <w:tmpl w:val="7744D84E"/>
    <w:lvl w:ilvl="0" w:tplc="DEBC93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 w15:restartNumberingAfterBreak="0">
    <w:nsid w:val="30055E1F"/>
    <w:multiLevelType w:val="multilevel"/>
    <w:tmpl w:val="5268DA7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8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6" w15:restartNumberingAfterBreak="0">
    <w:nsid w:val="36E232D3"/>
    <w:multiLevelType w:val="hybridMultilevel"/>
    <w:tmpl w:val="4156DDE0"/>
    <w:lvl w:ilvl="0" w:tplc="8690EB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0CE2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6294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AEF1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A222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D81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4E80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043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CC8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E76A7"/>
    <w:multiLevelType w:val="hybridMultilevel"/>
    <w:tmpl w:val="4F92062C"/>
    <w:lvl w:ilvl="0" w:tplc="123E3FD6">
      <w:start w:val="3"/>
      <w:numFmt w:val="lowerLetter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6DF102C"/>
    <w:multiLevelType w:val="hybridMultilevel"/>
    <w:tmpl w:val="01C06400"/>
    <w:lvl w:ilvl="0" w:tplc="450A1CB8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185039"/>
    <w:multiLevelType w:val="hybridMultilevel"/>
    <w:tmpl w:val="2654E5A6"/>
    <w:lvl w:ilvl="0" w:tplc="CAAE34A6">
      <w:start w:val="8"/>
      <w:numFmt w:val="decimal"/>
      <w:lvlText w:val="%1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A"/>
    <w:rsid w:val="0003253E"/>
    <w:rsid w:val="00096BE5"/>
    <w:rsid w:val="000D3A6C"/>
    <w:rsid w:val="001E2809"/>
    <w:rsid w:val="00202BF3"/>
    <w:rsid w:val="00332E6D"/>
    <w:rsid w:val="00366315"/>
    <w:rsid w:val="005C3C8B"/>
    <w:rsid w:val="00710EBA"/>
    <w:rsid w:val="00924F55"/>
    <w:rsid w:val="009C37A0"/>
    <w:rsid w:val="00A55F59"/>
    <w:rsid w:val="00A57312"/>
    <w:rsid w:val="00B9690A"/>
    <w:rsid w:val="00BD6B77"/>
    <w:rsid w:val="00BD7526"/>
    <w:rsid w:val="00BF6B82"/>
    <w:rsid w:val="00C879C2"/>
    <w:rsid w:val="00D64938"/>
    <w:rsid w:val="00DB7513"/>
    <w:rsid w:val="00F43FA3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44B3"/>
  <w15:chartTrackingRefBased/>
  <w15:docId w15:val="{03054ACC-28F1-412B-B1FD-58D0ED25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5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75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75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B751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pcz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.szymoniczek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22</cp:revision>
  <dcterms:created xsi:type="dcterms:W3CDTF">2022-05-04T11:56:00Z</dcterms:created>
  <dcterms:modified xsi:type="dcterms:W3CDTF">2025-06-03T12:54:00Z</dcterms:modified>
</cp:coreProperties>
</file>