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3AE9" w:rsidRDefault="00B73AE9" w:rsidP="00CC79C5">
      <w:pPr>
        <w:spacing w:after="0" w:line="276" w:lineRule="auto"/>
      </w:pPr>
    </w:p>
    <w:p w:rsidR="00B73AE9" w:rsidRDefault="00B73AE9" w:rsidP="00CC79C5">
      <w:pPr>
        <w:spacing w:after="0" w:line="276" w:lineRule="auto"/>
      </w:pPr>
    </w:p>
    <w:p w:rsidR="00B73AE9" w:rsidRDefault="00B73AE9" w:rsidP="00CC79C5">
      <w:pPr>
        <w:spacing w:after="0" w:line="276" w:lineRule="auto"/>
      </w:pPr>
      <w:r w:rsidRPr="00B73AE9">
        <w:t>Stanowisko ekspertów Polskiego Towarzystwa Genetyki Człowieka i Polskiego Towarzystwa Ginekologów i Położników w sprawie zlecania i interpretacji wyników badań pod kątem wariantów genetycznych w genie MTHFR</w:t>
      </w:r>
    </w:p>
    <w:p w:rsidR="00B73AE9" w:rsidRDefault="00B73AE9" w:rsidP="00CC79C5">
      <w:pPr>
        <w:spacing w:after="0" w:line="276" w:lineRule="auto"/>
      </w:pPr>
      <w:hyperlink r:id="rId4" w:history="1">
        <w:r w:rsidRPr="005C24D0">
          <w:rPr>
            <w:rStyle w:val="Hipercze"/>
          </w:rPr>
          <w:t>https://ptgc.pl/wp-content/uploads/2018/03/MTHFR-2018.pdf</w:t>
        </w:r>
      </w:hyperlink>
    </w:p>
    <w:p w:rsidR="00B73AE9" w:rsidRDefault="00B73AE9" w:rsidP="00CC79C5">
      <w:pPr>
        <w:spacing w:after="0" w:line="276" w:lineRule="auto"/>
      </w:pPr>
    </w:p>
    <w:p w:rsidR="00B73AE9" w:rsidRDefault="00B73AE9" w:rsidP="00CC79C5">
      <w:pPr>
        <w:spacing w:after="0" w:line="276" w:lineRule="auto"/>
      </w:pPr>
    </w:p>
    <w:p w:rsidR="00CC79C5" w:rsidRPr="00CC79C5" w:rsidRDefault="00CC79C5" w:rsidP="00CC79C5">
      <w:pPr>
        <w:spacing w:after="0" w:line="276" w:lineRule="auto"/>
      </w:pPr>
      <w:r w:rsidRPr="00CC79C5">
        <w:t>Aktualne wytyczne dotyczące badania genu MTHFR opublikowane na stronie in</w:t>
      </w:r>
      <w:r>
        <w:t xml:space="preserve">ternetowej </w:t>
      </w:r>
      <w:r w:rsidRPr="00CC79C5">
        <w:t xml:space="preserve">The </w:t>
      </w:r>
      <w:proofErr w:type="spellStart"/>
      <w:r w:rsidRPr="00CC79C5">
        <w:t>Royal</w:t>
      </w:r>
      <w:proofErr w:type="spellEnd"/>
      <w:r w:rsidRPr="00CC79C5">
        <w:t xml:space="preserve"> </w:t>
      </w:r>
      <w:proofErr w:type="spellStart"/>
      <w:r w:rsidRPr="00CC79C5">
        <w:t>Australian</w:t>
      </w:r>
      <w:proofErr w:type="spellEnd"/>
      <w:r w:rsidRPr="00CC79C5">
        <w:t xml:space="preserve"> College of General </w:t>
      </w:r>
      <w:proofErr w:type="spellStart"/>
      <w:r w:rsidRPr="00CC79C5">
        <w:t>Practitioners</w:t>
      </w:r>
      <w:proofErr w:type="spellEnd"/>
    </w:p>
    <w:p w:rsidR="00CC79C5" w:rsidRPr="00CC79C5" w:rsidRDefault="00CC79C5" w:rsidP="00CC79C5">
      <w:pPr>
        <w:spacing w:after="0" w:line="276" w:lineRule="auto"/>
      </w:pPr>
      <w:hyperlink r:id="rId5" w:tgtFrame="_blank" w:tooltip="https://www.racgp.org.au/clinical-resources/clinical-guidelines/key-racgp-guidelines/view-all-racgp-guidelines/first-do-no-harm/gp-resources/mthfr-gene-testing" w:history="1">
        <w:r w:rsidRPr="00CC79C5">
          <w:rPr>
            <w:rStyle w:val="Hipercze"/>
          </w:rPr>
          <w:t>https://www.racgp.org.au/clinical-resources/clinical-guidelines/key-racgp-guidelines/view-all-racgp-guidelines/first-do-no-harm/gp-resources/mthfr-gene-testing</w:t>
        </w:r>
      </w:hyperlink>
    </w:p>
    <w:p w:rsidR="00CC79C5" w:rsidRDefault="00CC79C5" w:rsidP="00CC79C5">
      <w:pPr>
        <w:spacing w:after="0" w:line="276" w:lineRule="auto"/>
      </w:pPr>
    </w:p>
    <w:p w:rsidR="00B73AE9" w:rsidRPr="00CC79C5" w:rsidRDefault="00B73AE9" w:rsidP="00CC79C5">
      <w:pPr>
        <w:spacing w:after="0" w:line="276" w:lineRule="auto"/>
      </w:pPr>
    </w:p>
    <w:p w:rsidR="00CC79C5" w:rsidRPr="00CC79C5" w:rsidRDefault="00CC79C5" w:rsidP="00CC79C5">
      <w:pPr>
        <w:spacing w:after="0" w:line="276" w:lineRule="auto"/>
        <w:rPr>
          <w:lang w:val="en-US"/>
        </w:rPr>
      </w:pPr>
      <w:proofErr w:type="spellStart"/>
      <w:r w:rsidRPr="00CC79C5">
        <w:rPr>
          <w:lang w:val="en-US"/>
        </w:rPr>
        <w:t>Stanowisk</w:t>
      </w:r>
      <w:r>
        <w:rPr>
          <w:lang w:val="en-US"/>
        </w:rPr>
        <w:t>o</w:t>
      </w:r>
      <w:proofErr w:type="spellEnd"/>
      <w:r w:rsidRPr="00CC79C5">
        <w:rPr>
          <w:lang w:val="en-US"/>
        </w:rPr>
        <w:t xml:space="preserve"> </w:t>
      </w:r>
      <w:proofErr w:type="spellStart"/>
      <w:r w:rsidRPr="00CC79C5">
        <w:rPr>
          <w:lang w:val="en-US"/>
        </w:rPr>
        <w:t>Americal</w:t>
      </w:r>
      <w:proofErr w:type="spellEnd"/>
      <w:r w:rsidRPr="00CC79C5">
        <w:rPr>
          <w:lang w:val="en-US"/>
        </w:rPr>
        <w:t xml:space="preserve"> Academy of Family Physicians (AAFP)</w:t>
      </w:r>
    </w:p>
    <w:p w:rsidR="00CC79C5" w:rsidRPr="00CC79C5" w:rsidRDefault="00CC79C5" w:rsidP="00CC79C5">
      <w:pPr>
        <w:spacing w:after="0" w:line="276" w:lineRule="auto"/>
        <w:rPr>
          <w:lang w:val="en-US"/>
        </w:rPr>
      </w:pPr>
      <w:hyperlink r:id="rId6" w:tgtFrame="_blank" w:tooltip="https://www.aafp.org/pubs/afp/collections/choosing-wisely/412.html" w:history="1">
        <w:r w:rsidRPr="00CC79C5">
          <w:rPr>
            <w:rStyle w:val="Hipercze"/>
            <w:lang w:val="en-US"/>
          </w:rPr>
          <w:t>https://www.aafp.org/pubs/afp/collections/choosing-wisely/412.html</w:t>
        </w:r>
      </w:hyperlink>
    </w:p>
    <w:p w:rsidR="00CC79C5" w:rsidRDefault="00CC79C5" w:rsidP="00CC79C5">
      <w:pPr>
        <w:spacing w:after="0" w:line="276" w:lineRule="auto"/>
        <w:rPr>
          <w:lang w:val="en-US"/>
        </w:rPr>
      </w:pPr>
    </w:p>
    <w:p w:rsidR="00B73AE9" w:rsidRPr="00CC79C5" w:rsidRDefault="00B73AE9" w:rsidP="00CC79C5">
      <w:pPr>
        <w:spacing w:after="0" w:line="276" w:lineRule="auto"/>
        <w:rPr>
          <w:lang w:val="en-US"/>
        </w:rPr>
      </w:pPr>
    </w:p>
    <w:p w:rsidR="00CC79C5" w:rsidRPr="00CC79C5" w:rsidRDefault="00CC79C5" w:rsidP="00CC79C5">
      <w:pPr>
        <w:spacing w:after="0" w:line="276" w:lineRule="auto"/>
        <w:rPr>
          <w:lang w:val="en-US"/>
        </w:rPr>
      </w:pPr>
      <w:proofErr w:type="spellStart"/>
      <w:r w:rsidRPr="00CC79C5">
        <w:rPr>
          <w:lang w:val="en-US"/>
        </w:rPr>
        <w:t>Publikacja</w:t>
      </w:r>
      <w:proofErr w:type="spellEnd"/>
      <w:r w:rsidRPr="00CC79C5">
        <w:rPr>
          <w:lang w:val="en-US"/>
        </w:rPr>
        <w:t xml:space="preserve"> </w:t>
      </w:r>
      <w:proofErr w:type="spellStart"/>
      <w:r w:rsidRPr="00CC79C5">
        <w:rPr>
          <w:lang w:val="en-US"/>
        </w:rPr>
        <w:t>cytowana</w:t>
      </w:r>
      <w:proofErr w:type="spellEnd"/>
      <w:r w:rsidRPr="00CC79C5">
        <w:rPr>
          <w:lang w:val="en-US"/>
        </w:rPr>
        <w:t xml:space="preserve"> </w:t>
      </w:r>
      <w:proofErr w:type="spellStart"/>
      <w:r w:rsidRPr="00CC79C5">
        <w:rPr>
          <w:lang w:val="en-US"/>
        </w:rPr>
        <w:t>na</w:t>
      </w:r>
      <w:proofErr w:type="spellEnd"/>
      <w:r w:rsidRPr="00CC79C5">
        <w:rPr>
          <w:lang w:val="en-US"/>
        </w:rPr>
        <w:t xml:space="preserve"> </w:t>
      </w:r>
      <w:proofErr w:type="spellStart"/>
      <w:r w:rsidRPr="00CC79C5">
        <w:rPr>
          <w:lang w:val="en-US"/>
        </w:rPr>
        <w:t>stronie</w:t>
      </w:r>
      <w:proofErr w:type="spellEnd"/>
      <w:r w:rsidRPr="00CC79C5">
        <w:rPr>
          <w:lang w:val="en-US"/>
        </w:rPr>
        <w:t xml:space="preserve"> National Institutes of Health (NIH)</w:t>
      </w:r>
    </w:p>
    <w:p w:rsidR="00CC79C5" w:rsidRPr="00CC79C5" w:rsidRDefault="00CC79C5" w:rsidP="00CC79C5">
      <w:pPr>
        <w:spacing w:after="0" w:line="276" w:lineRule="auto"/>
        <w:rPr>
          <w:lang w:val="en-US"/>
        </w:rPr>
      </w:pPr>
      <w:r w:rsidRPr="00CC79C5">
        <w:rPr>
          <w:lang w:val="en-US"/>
        </w:rPr>
        <w:t>A call to action: MTHFR polymorphisms should not be a part of inherited thrombophilia testing</w:t>
      </w:r>
      <w:r>
        <w:rPr>
          <w:lang w:val="en-US"/>
        </w:rPr>
        <w:t xml:space="preserve">. </w:t>
      </w:r>
      <w:r w:rsidRPr="00CC79C5">
        <w:rPr>
          <w:lang w:val="en-US"/>
        </w:rPr>
        <w:t xml:space="preserve">Res </w:t>
      </w:r>
      <w:proofErr w:type="spellStart"/>
      <w:r w:rsidRPr="00CC79C5">
        <w:rPr>
          <w:lang w:val="en-US"/>
        </w:rPr>
        <w:t>Pract</w:t>
      </w:r>
      <w:proofErr w:type="spellEnd"/>
      <w:r w:rsidRPr="00CC79C5">
        <w:rPr>
          <w:lang w:val="en-US"/>
        </w:rPr>
        <w:t xml:space="preserve"> </w:t>
      </w:r>
      <w:proofErr w:type="spellStart"/>
      <w:r w:rsidRPr="00CC79C5">
        <w:rPr>
          <w:lang w:val="en-US"/>
        </w:rPr>
        <w:t>Thromb</w:t>
      </w:r>
      <w:proofErr w:type="spellEnd"/>
      <w:r w:rsidRPr="00CC79C5">
        <w:rPr>
          <w:lang w:val="en-US"/>
        </w:rPr>
        <w:t xml:space="preserve"> </w:t>
      </w:r>
      <w:proofErr w:type="spellStart"/>
      <w:r w:rsidRPr="00CC79C5">
        <w:rPr>
          <w:lang w:val="en-US"/>
        </w:rPr>
        <w:t>Haemost</w:t>
      </w:r>
      <w:proofErr w:type="spellEnd"/>
      <w:r>
        <w:rPr>
          <w:lang w:val="en-US"/>
        </w:rPr>
        <w:t xml:space="preserve"> </w:t>
      </w:r>
      <w:r w:rsidRPr="00CC79C5">
        <w:rPr>
          <w:lang w:val="en-US"/>
        </w:rPr>
        <w:t xml:space="preserve">2022 Jun 8;6(4):e12739. </w:t>
      </w:r>
      <w:proofErr w:type="spellStart"/>
      <w:r w:rsidRPr="00CC79C5">
        <w:rPr>
          <w:lang w:val="en-US"/>
        </w:rPr>
        <w:t>doi</w:t>
      </w:r>
      <w:proofErr w:type="spellEnd"/>
      <w:r w:rsidRPr="00CC79C5">
        <w:rPr>
          <w:lang w:val="en-US"/>
        </w:rPr>
        <w:t>: </w:t>
      </w:r>
      <w:hyperlink r:id="rId7" w:tgtFrame="_blank" w:tooltip="https://doi.org/10.1002/rth2.12739" w:history="1">
        <w:r w:rsidRPr="00CC79C5">
          <w:rPr>
            <w:rStyle w:val="Hipercze"/>
            <w:lang w:val="en-US"/>
          </w:rPr>
          <w:t>10.1002/rth2.12739</w:t>
        </w:r>
      </w:hyperlink>
    </w:p>
    <w:p w:rsidR="00491C7D" w:rsidRPr="00CC79C5" w:rsidRDefault="00491C7D" w:rsidP="00CC79C5">
      <w:pPr>
        <w:rPr>
          <w:lang w:val="en-US"/>
        </w:rPr>
      </w:pPr>
    </w:p>
    <w:sectPr w:rsidR="00491C7D" w:rsidRPr="00CC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C5"/>
    <w:rsid w:val="002A3A7D"/>
    <w:rsid w:val="00491C7D"/>
    <w:rsid w:val="00B715B7"/>
    <w:rsid w:val="00B73AE9"/>
    <w:rsid w:val="00CC79C5"/>
    <w:rsid w:val="00E6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F8F1"/>
  <w15:chartTrackingRefBased/>
  <w15:docId w15:val="{59B79A3D-FE04-47F6-85DE-2C36389D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79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2/rth2.127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afp.org/pubs/afp/collections/choosing-wisely/412.html" TargetMode="External"/><Relationship Id="rId5" Type="http://schemas.openxmlformats.org/officeDocument/2006/relationships/hyperlink" Target="https://www.racgp.org.au/clinical-resources/clinical-guidelines/key-racgp-guidelines/view-all-racgp-guidelines/first-do-no-harm/gp-resources/mthfr-gene-testing" TargetMode="External"/><Relationship Id="rId4" Type="http://schemas.openxmlformats.org/officeDocument/2006/relationships/hyperlink" Target="https://ptgc.pl/wp-content/uploads/2018/03/MTHFR-2018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Madej-Pilarczyk</dc:creator>
  <cp:keywords/>
  <dc:description/>
  <cp:lastModifiedBy>Agnieszka Madej-Pilarczyk</cp:lastModifiedBy>
  <cp:revision>3</cp:revision>
  <dcterms:created xsi:type="dcterms:W3CDTF">2024-11-28T08:04:00Z</dcterms:created>
  <dcterms:modified xsi:type="dcterms:W3CDTF">2024-11-28T08:17:00Z</dcterms:modified>
</cp:coreProperties>
</file>