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BC1" w:rsidRPr="0063437F" w:rsidRDefault="00900BC1" w:rsidP="001305D8">
      <w:pPr>
        <w:spacing w:line="276" w:lineRule="auto"/>
        <w:jc w:val="center"/>
        <w:rPr>
          <w:b/>
          <w:sz w:val="24"/>
          <w:szCs w:val="24"/>
        </w:rPr>
      </w:pPr>
      <w:r w:rsidRPr="0063437F">
        <w:rPr>
          <w:b/>
          <w:sz w:val="24"/>
          <w:szCs w:val="24"/>
        </w:rPr>
        <w:t xml:space="preserve">ZESPÓŁ KOORDYNACYJNY DS. LECZENIA </w:t>
      </w:r>
      <w:r w:rsidR="00C623A0" w:rsidRPr="0063437F">
        <w:rPr>
          <w:b/>
          <w:sz w:val="24"/>
          <w:szCs w:val="24"/>
        </w:rPr>
        <w:t>RDZENIOWEGO ZANIKU MIĘŚNI</w:t>
      </w:r>
    </w:p>
    <w:p w:rsidR="00900BC1" w:rsidRPr="0063437F" w:rsidRDefault="00900BC1" w:rsidP="0092638A">
      <w:pPr>
        <w:spacing w:line="276" w:lineRule="auto"/>
        <w:rPr>
          <w:sz w:val="18"/>
          <w:szCs w:val="18"/>
        </w:rPr>
      </w:pPr>
      <w:r w:rsidRPr="0063437F">
        <w:rPr>
          <w:sz w:val="18"/>
          <w:szCs w:val="18"/>
        </w:rPr>
        <w:t xml:space="preserve">Instytut Pomnik-Centrum Zdrowia Dziecka                                                                </w:t>
      </w:r>
      <w:r w:rsidR="0087641D" w:rsidRPr="0063437F">
        <w:rPr>
          <w:sz w:val="18"/>
          <w:szCs w:val="18"/>
        </w:rPr>
        <w:t xml:space="preserve">                          </w:t>
      </w:r>
      <w:r w:rsidRPr="0063437F">
        <w:rPr>
          <w:sz w:val="18"/>
          <w:szCs w:val="18"/>
        </w:rPr>
        <w:t xml:space="preserve"> </w:t>
      </w:r>
      <w:r w:rsidR="0063437F">
        <w:rPr>
          <w:sz w:val="18"/>
          <w:szCs w:val="18"/>
        </w:rPr>
        <w:t xml:space="preserve">                  </w:t>
      </w:r>
    </w:p>
    <w:p w:rsidR="00C623A0" w:rsidRPr="0063437F" w:rsidRDefault="00C623A0" w:rsidP="0092638A">
      <w:pPr>
        <w:spacing w:line="276" w:lineRule="auto"/>
        <w:rPr>
          <w:sz w:val="18"/>
          <w:szCs w:val="18"/>
        </w:rPr>
      </w:pPr>
      <w:r w:rsidRPr="0063437F">
        <w:rPr>
          <w:sz w:val="18"/>
          <w:szCs w:val="18"/>
        </w:rPr>
        <w:t xml:space="preserve">Sekcja Koordynacji Zespołów Lekowych                                                     </w:t>
      </w:r>
      <w:r w:rsidRPr="0063437F">
        <w:rPr>
          <w:sz w:val="18"/>
          <w:szCs w:val="18"/>
        </w:rPr>
        <w:tab/>
      </w:r>
      <w:r w:rsidR="0087641D" w:rsidRPr="0063437F">
        <w:rPr>
          <w:sz w:val="18"/>
          <w:szCs w:val="18"/>
        </w:rPr>
        <w:t xml:space="preserve">                       </w:t>
      </w:r>
      <w:r w:rsidR="0063437F">
        <w:rPr>
          <w:sz w:val="18"/>
          <w:szCs w:val="18"/>
        </w:rPr>
        <w:tab/>
        <w:t xml:space="preserve">                     </w:t>
      </w:r>
      <w:r w:rsidR="0063437F" w:rsidRPr="0063437F">
        <w:rPr>
          <w:sz w:val="18"/>
          <w:szCs w:val="18"/>
        </w:rPr>
        <w:t xml:space="preserve">tel. (22) 815 77 79                                                                                             </w:t>
      </w:r>
    </w:p>
    <w:p w:rsidR="00900BC1" w:rsidRPr="0063437F" w:rsidRDefault="00C623A0" w:rsidP="0092638A">
      <w:pPr>
        <w:spacing w:line="276" w:lineRule="auto"/>
        <w:rPr>
          <w:sz w:val="18"/>
          <w:szCs w:val="18"/>
        </w:rPr>
      </w:pPr>
      <w:r w:rsidRPr="0063437F">
        <w:rPr>
          <w:sz w:val="18"/>
          <w:szCs w:val="18"/>
        </w:rPr>
        <w:t xml:space="preserve">ul. </w:t>
      </w:r>
      <w:r w:rsidR="00900BC1" w:rsidRPr="0063437F">
        <w:rPr>
          <w:sz w:val="18"/>
          <w:szCs w:val="18"/>
        </w:rPr>
        <w:t>Al. Dzieci Polskich 20</w:t>
      </w:r>
      <w:r w:rsidR="00357180" w:rsidRPr="0063437F">
        <w:rPr>
          <w:sz w:val="18"/>
          <w:szCs w:val="18"/>
        </w:rPr>
        <w:t xml:space="preserve">, </w:t>
      </w:r>
      <w:r w:rsidR="00900BC1" w:rsidRPr="0063437F">
        <w:rPr>
          <w:sz w:val="18"/>
          <w:szCs w:val="18"/>
        </w:rPr>
        <w:t xml:space="preserve">04-730 Warszawa                                                                   </w:t>
      </w:r>
      <w:r w:rsidR="0063437F" w:rsidRPr="0063437F">
        <w:rPr>
          <w:sz w:val="18"/>
          <w:szCs w:val="18"/>
        </w:rPr>
        <w:t xml:space="preserve">                </w:t>
      </w:r>
      <w:r w:rsidR="0063437F">
        <w:rPr>
          <w:sz w:val="18"/>
          <w:szCs w:val="18"/>
        </w:rPr>
        <w:t xml:space="preserve">                  </w:t>
      </w:r>
      <w:r w:rsidR="0063437F" w:rsidRPr="0063437F">
        <w:rPr>
          <w:sz w:val="18"/>
          <w:szCs w:val="18"/>
        </w:rPr>
        <w:t>e-mail: sma@ipczd.pl</w:t>
      </w:r>
    </w:p>
    <w:p w:rsidR="00900BC1" w:rsidRPr="0063437F" w:rsidRDefault="00357180" w:rsidP="0092638A">
      <w:pPr>
        <w:tabs>
          <w:tab w:val="right" w:pos="9967"/>
        </w:tabs>
        <w:spacing w:line="276" w:lineRule="auto"/>
        <w:rPr>
          <w:sz w:val="18"/>
          <w:szCs w:val="18"/>
        </w:rPr>
      </w:pPr>
      <w:r w:rsidRPr="0063437F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6162675" cy="3810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F4BC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4.05pt,4.45pt" to="919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f8Fw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">
                <w10:wrap anchorx="margin"/>
              </v:line>
            </w:pict>
          </mc:Fallback>
        </mc:AlternateContent>
      </w:r>
      <w:r w:rsidR="0087641D" w:rsidRPr="0063437F">
        <w:rPr>
          <w:sz w:val="18"/>
          <w:szCs w:val="18"/>
        </w:rPr>
        <w:t xml:space="preserve">  </w:t>
      </w:r>
      <w:r w:rsidR="00900BC1" w:rsidRPr="0063437F">
        <w:rPr>
          <w:sz w:val="18"/>
          <w:szCs w:val="18"/>
        </w:rPr>
        <w:tab/>
      </w:r>
      <w:r w:rsidR="0087641D" w:rsidRPr="0063437F">
        <w:rPr>
          <w:sz w:val="18"/>
          <w:szCs w:val="18"/>
        </w:rPr>
        <w:t xml:space="preserve"> </w:t>
      </w:r>
      <w:r w:rsidR="00900BC1" w:rsidRPr="0063437F">
        <w:rPr>
          <w:sz w:val="18"/>
          <w:szCs w:val="18"/>
        </w:rPr>
        <w:t xml:space="preserve"> </w:t>
      </w:r>
    </w:p>
    <w:p w:rsidR="00D27D78" w:rsidRPr="0063437F" w:rsidRDefault="00900BC1" w:rsidP="0092638A">
      <w:pPr>
        <w:tabs>
          <w:tab w:val="right" w:pos="9967"/>
        </w:tabs>
        <w:spacing w:line="276" w:lineRule="auto"/>
        <w:rPr>
          <w:sz w:val="18"/>
          <w:szCs w:val="18"/>
        </w:rPr>
      </w:pPr>
      <w:r w:rsidRPr="0063437F">
        <w:rPr>
          <w:sz w:val="18"/>
          <w:szCs w:val="18"/>
        </w:rPr>
        <w:t>Przewodnicząca Zespołu</w:t>
      </w:r>
      <w:r w:rsidR="00C623A0" w:rsidRPr="0063437F">
        <w:rPr>
          <w:sz w:val="18"/>
          <w:szCs w:val="18"/>
        </w:rPr>
        <w:t xml:space="preserve">                                                                                          </w:t>
      </w:r>
      <w:r w:rsidR="00EE686D" w:rsidRPr="0063437F">
        <w:rPr>
          <w:sz w:val="18"/>
          <w:szCs w:val="18"/>
        </w:rPr>
        <w:t xml:space="preserve">           </w:t>
      </w:r>
      <w:r w:rsidR="0087641D" w:rsidRPr="0063437F">
        <w:rPr>
          <w:sz w:val="18"/>
          <w:szCs w:val="18"/>
        </w:rPr>
        <w:t xml:space="preserve">                </w:t>
      </w:r>
      <w:r w:rsidR="00C623A0" w:rsidRPr="0063437F">
        <w:rPr>
          <w:sz w:val="18"/>
          <w:szCs w:val="18"/>
        </w:rPr>
        <w:t xml:space="preserve">  </w:t>
      </w:r>
    </w:p>
    <w:p w:rsidR="00900BC1" w:rsidRPr="0063437F" w:rsidRDefault="00D27D78" w:rsidP="0092638A">
      <w:pPr>
        <w:tabs>
          <w:tab w:val="right" w:pos="9967"/>
        </w:tabs>
        <w:spacing w:line="276" w:lineRule="auto"/>
        <w:rPr>
          <w:sz w:val="18"/>
          <w:szCs w:val="18"/>
        </w:rPr>
      </w:pPr>
      <w:r w:rsidRPr="0063437F">
        <w:rPr>
          <w:sz w:val="18"/>
          <w:szCs w:val="18"/>
        </w:rPr>
        <w:t>prof. dr hab.n.med. Katarzyna Kotulska-Jóźwiak</w:t>
      </w:r>
      <w:r w:rsidR="00900BC1" w:rsidRPr="0063437F">
        <w:rPr>
          <w:sz w:val="18"/>
          <w:szCs w:val="18"/>
        </w:rPr>
        <w:t xml:space="preserve"> </w:t>
      </w:r>
      <w:r w:rsidR="00C623A0" w:rsidRPr="0063437F">
        <w:rPr>
          <w:sz w:val="18"/>
          <w:szCs w:val="18"/>
        </w:rPr>
        <w:t xml:space="preserve">                                                      </w:t>
      </w:r>
      <w:r w:rsidR="00EE686D" w:rsidRPr="0063437F">
        <w:rPr>
          <w:sz w:val="18"/>
          <w:szCs w:val="18"/>
        </w:rPr>
        <w:t xml:space="preserve">         </w:t>
      </w:r>
      <w:r w:rsidR="0087641D" w:rsidRPr="0063437F">
        <w:rPr>
          <w:sz w:val="18"/>
          <w:szCs w:val="18"/>
        </w:rPr>
        <w:t xml:space="preserve">                </w:t>
      </w:r>
      <w:r w:rsidR="00EE686D" w:rsidRPr="0063437F">
        <w:rPr>
          <w:sz w:val="18"/>
          <w:szCs w:val="18"/>
        </w:rPr>
        <w:t xml:space="preserve">  </w:t>
      </w:r>
      <w:r w:rsidR="00900BC1" w:rsidRPr="0063437F">
        <w:rPr>
          <w:sz w:val="18"/>
          <w:szCs w:val="18"/>
        </w:rPr>
        <w:tab/>
      </w:r>
    </w:p>
    <w:p w:rsidR="00900BC1" w:rsidRPr="0063437F" w:rsidRDefault="00900BC1" w:rsidP="0092638A">
      <w:pPr>
        <w:pStyle w:val="ZESP"/>
        <w:spacing w:line="276" w:lineRule="auto"/>
        <w:rPr>
          <w:rFonts w:ascii="Times New Roman" w:hAnsi="Times New Roman"/>
          <w:sz w:val="18"/>
          <w:szCs w:val="18"/>
        </w:rPr>
      </w:pPr>
      <w:r w:rsidRPr="0063437F">
        <w:rPr>
          <w:rFonts w:ascii="Times New Roman" w:hAnsi="Times New Roman"/>
          <w:sz w:val="18"/>
          <w:szCs w:val="18"/>
        </w:rPr>
        <w:t xml:space="preserve">Klinika Neurologii i Epileptologii                                                                </w:t>
      </w:r>
      <w:r w:rsidR="00EE686D" w:rsidRPr="0063437F">
        <w:rPr>
          <w:rFonts w:ascii="Times New Roman" w:hAnsi="Times New Roman"/>
          <w:sz w:val="18"/>
          <w:szCs w:val="18"/>
        </w:rPr>
        <w:t xml:space="preserve"> </w:t>
      </w:r>
      <w:r w:rsidRPr="0063437F">
        <w:rPr>
          <w:rFonts w:ascii="Times New Roman" w:hAnsi="Times New Roman"/>
          <w:sz w:val="18"/>
          <w:szCs w:val="18"/>
        </w:rPr>
        <w:t xml:space="preserve"> </w:t>
      </w:r>
      <w:r w:rsidR="0087641D" w:rsidRPr="0063437F">
        <w:rPr>
          <w:rFonts w:ascii="Times New Roman" w:hAnsi="Times New Roman"/>
          <w:sz w:val="18"/>
          <w:szCs w:val="18"/>
        </w:rPr>
        <w:t xml:space="preserve">            </w:t>
      </w:r>
      <w:r w:rsidR="0063437F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="0087641D" w:rsidRPr="0063437F">
        <w:rPr>
          <w:rFonts w:ascii="Times New Roman" w:hAnsi="Times New Roman"/>
          <w:sz w:val="18"/>
          <w:szCs w:val="18"/>
        </w:rPr>
        <w:t xml:space="preserve">  </w:t>
      </w:r>
      <w:r w:rsidR="0063437F">
        <w:rPr>
          <w:rFonts w:ascii="Times New Roman" w:hAnsi="Times New Roman"/>
          <w:sz w:val="18"/>
          <w:szCs w:val="18"/>
        </w:rPr>
        <w:t xml:space="preserve"> </w:t>
      </w:r>
      <w:r w:rsidR="0063437F" w:rsidRPr="0063437F">
        <w:rPr>
          <w:rFonts w:ascii="Times New Roman" w:hAnsi="Times New Roman"/>
          <w:sz w:val="18"/>
          <w:szCs w:val="18"/>
        </w:rPr>
        <w:t>tel. (22) 815 74 04</w:t>
      </w:r>
      <w:r w:rsidR="0087641D" w:rsidRPr="0063437F">
        <w:rPr>
          <w:rFonts w:ascii="Times New Roman" w:hAnsi="Times New Roman"/>
          <w:sz w:val="18"/>
          <w:szCs w:val="18"/>
        </w:rPr>
        <w:t xml:space="preserve">  </w:t>
      </w:r>
    </w:p>
    <w:p w:rsidR="00900BC1" w:rsidRPr="0063437F" w:rsidRDefault="00900BC1" w:rsidP="0092638A">
      <w:pPr>
        <w:pBdr>
          <w:bottom w:val="thinThickSmallGap" w:sz="24" w:space="2" w:color="auto"/>
        </w:pBdr>
        <w:tabs>
          <w:tab w:val="right" w:pos="9967"/>
        </w:tabs>
        <w:spacing w:line="276" w:lineRule="auto"/>
        <w:rPr>
          <w:sz w:val="18"/>
          <w:szCs w:val="18"/>
        </w:rPr>
      </w:pPr>
      <w:r w:rsidRPr="0063437F">
        <w:rPr>
          <w:sz w:val="18"/>
          <w:szCs w:val="18"/>
        </w:rPr>
        <w:t xml:space="preserve">Instytut „Pomnik-Centrum Zdrowia Dziecka”                                                             </w:t>
      </w:r>
      <w:r w:rsidR="0063437F">
        <w:rPr>
          <w:sz w:val="18"/>
          <w:szCs w:val="18"/>
        </w:rPr>
        <w:t xml:space="preserve">                                              </w:t>
      </w:r>
      <w:r w:rsidR="0063437F" w:rsidRPr="0063437F">
        <w:rPr>
          <w:sz w:val="18"/>
          <w:szCs w:val="18"/>
        </w:rPr>
        <w:t>fax. (22) 815 74 02</w:t>
      </w:r>
    </w:p>
    <w:p w:rsidR="00900BC1" w:rsidRPr="00357180" w:rsidRDefault="00C623A0" w:rsidP="0092638A">
      <w:pPr>
        <w:pBdr>
          <w:bottom w:val="thinThickSmallGap" w:sz="24" w:space="2" w:color="auto"/>
        </w:pBdr>
        <w:tabs>
          <w:tab w:val="left" w:pos="7275"/>
        </w:tabs>
        <w:spacing w:line="276" w:lineRule="auto"/>
        <w:rPr>
          <w:rFonts w:ascii="Arial" w:hAnsi="Arial" w:cs="Arial"/>
          <w:sz w:val="18"/>
          <w:szCs w:val="18"/>
        </w:rPr>
      </w:pPr>
      <w:r w:rsidRPr="0063437F">
        <w:rPr>
          <w:sz w:val="18"/>
          <w:szCs w:val="18"/>
        </w:rPr>
        <w:t xml:space="preserve">ul. </w:t>
      </w:r>
      <w:r w:rsidR="00900BC1" w:rsidRPr="0063437F">
        <w:rPr>
          <w:sz w:val="18"/>
          <w:szCs w:val="18"/>
        </w:rPr>
        <w:t>Al. Dzieci Polskich 20</w:t>
      </w:r>
      <w:r w:rsidR="00357180" w:rsidRPr="0063437F">
        <w:rPr>
          <w:sz w:val="18"/>
          <w:szCs w:val="18"/>
        </w:rPr>
        <w:t xml:space="preserve">, </w:t>
      </w:r>
      <w:r w:rsidR="00900BC1" w:rsidRPr="0063437F">
        <w:rPr>
          <w:sz w:val="18"/>
          <w:szCs w:val="18"/>
        </w:rPr>
        <w:t>04-730 Warszawa</w:t>
      </w:r>
      <w:r w:rsidR="00900BC1" w:rsidRPr="00357180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63437F">
        <w:rPr>
          <w:rFonts w:ascii="Arial" w:hAnsi="Arial" w:cs="Arial"/>
          <w:sz w:val="18"/>
          <w:szCs w:val="18"/>
        </w:rPr>
        <w:t xml:space="preserve">                    </w:t>
      </w:r>
      <w:r w:rsidR="00900BC1" w:rsidRPr="00357180">
        <w:rPr>
          <w:rFonts w:ascii="Arial" w:hAnsi="Arial" w:cs="Arial"/>
          <w:sz w:val="18"/>
          <w:szCs w:val="18"/>
        </w:rPr>
        <w:t xml:space="preserve"> </w:t>
      </w:r>
      <w:r w:rsidR="0063437F" w:rsidRPr="0063437F">
        <w:rPr>
          <w:sz w:val="18"/>
          <w:szCs w:val="18"/>
        </w:rPr>
        <w:t xml:space="preserve">e-mail: oddzial.neurologia@ipczd.pl                                                                                          </w:t>
      </w:r>
    </w:p>
    <w:p w:rsidR="00900BC1" w:rsidRPr="001305D8" w:rsidRDefault="00900BC1" w:rsidP="00900BC1">
      <w:pPr>
        <w:rPr>
          <w:sz w:val="24"/>
          <w:szCs w:val="24"/>
        </w:rPr>
      </w:pP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</w:r>
      <w:r w:rsidRPr="00AB662A">
        <w:rPr>
          <w:rFonts w:ascii="Arial" w:hAnsi="Arial" w:cs="Arial"/>
          <w:sz w:val="24"/>
          <w:szCs w:val="24"/>
        </w:rPr>
        <w:tab/>
        <w:t xml:space="preserve">         </w:t>
      </w:r>
      <w:r w:rsidR="00CF3785" w:rsidRPr="00AB662A">
        <w:rPr>
          <w:rFonts w:ascii="Arial" w:hAnsi="Arial" w:cs="Arial"/>
          <w:sz w:val="24"/>
          <w:szCs w:val="24"/>
        </w:rPr>
        <w:tab/>
      </w:r>
      <w:r w:rsidR="00CF3785" w:rsidRPr="008F7B4F">
        <w:rPr>
          <w:sz w:val="24"/>
          <w:szCs w:val="24"/>
        </w:rPr>
        <w:t xml:space="preserve">      </w:t>
      </w:r>
      <w:bookmarkStart w:id="0" w:name="_GoBack"/>
      <w:bookmarkEnd w:id="0"/>
    </w:p>
    <w:p w:rsidR="001305D8" w:rsidRPr="001305D8" w:rsidRDefault="001305D8" w:rsidP="00900BC1">
      <w:pPr>
        <w:rPr>
          <w:sz w:val="24"/>
          <w:szCs w:val="24"/>
        </w:rPr>
      </w:pPr>
    </w:p>
    <w:p w:rsidR="001305D8" w:rsidRPr="001305D8" w:rsidRDefault="001305D8" w:rsidP="001305D8">
      <w:pPr>
        <w:spacing w:after="160" w:line="278" w:lineRule="auto"/>
        <w:jc w:val="center"/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  <w:t>Informacja  Zespołu Koordynującego ds. Leczenia Chorych na Rdzeniowy Zanik Mięśni o zmianach w  programie B.102.</w:t>
      </w:r>
      <w:r w:rsidRPr="001305D8"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  <w:br/>
        <w:t xml:space="preserve">Zmiany wprowadzone od 1 października 2025 roku dotyczą zmian terapii z </w:t>
      </w:r>
      <w:proofErr w:type="spellStart"/>
      <w:r w:rsidRPr="001305D8"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  <w:t>rysdyplamu</w:t>
      </w:r>
      <w:proofErr w:type="spellEnd"/>
      <w:r w:rsidRPr="001305D8"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1305D8"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b/>
          <w:kern w:val="2"/>
          <w:sz w:val="24"/>
          <w:szCs w:val="24"/>
          <w:lang w:eastAsia="en-US"/>
          <w14:ligatures w14:val="standardContextual"/>
        </w:rPr>
        <w:t xml:space="preserve"> i odwrotnie</w:t>
      </w:r>
    </w:p>
    <w:p w:rsidR="001305D8" w:rsidRPr="001305D8" w:rsidRDefault="001305D8" w:rsidP="001305D8">
      <w:pPr>
        <w:spacing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Zgodnie z obowiązującą wersja programu lekowego B.102, możliwa jest </w:t>
      </w:r>
      <w:r w:rsidRPr="001305D8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zmiana terapii</w:t>
      </w: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z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rysdyplamu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w następujących przypadkach:</w:t>
      </w:r>
    </w:p>
    <w:p w:rsidR="001305D8" w:rsidRPr="001305D8" w:rsidRDefault="001305D8" w:rsidP="001305D8">
      <w:pPr>
        <w:numPr>
          <w:ilvl w:val="0"/>
          <w:numId w:val="1"/>
        </w:numPr>
        <w:spacing w:line="278" w:lineRule="auto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Przeciwskazania do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stwierdzone w trakcie leczenia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- punkt 3.3.2 i 3 (kryteria wyłączenia z programu lekowego). Przykładem takiej sytuacji może być  ciąża lub jej planowanie. </w:t>
      </w:r>
    </w:p>
    <w:p w:rsidR="001305D8" w:rsidRPr="001305D8" w:rsidRDefault="001305D8" w:rsidP="001305D8">
      <w:pPr>
        <w:numPr>
          <w:ilvl w:val="0"/>
          <w:numId w:val="1"/>
        </w:numPr>
        <w:spacing w:after="160" w:line="278" w:lineRule="auto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Pogorszenie stanu neurologicznego w czasie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według kryteriów wyłączenia z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– punkt 3.3.1 (kryteria wyłączenia z programu lekowego)</w:t>
      </w:r>
    </w:p>
    <w:p w:rsidR="001305D8" w:rsidRPr="001305D8" w:rsidRDefault="001305D8" w:rsidP="001305D8">
      <w:pPr>
        <w:numPr>
          <w:ilvl w:val="0"/>
          <w:numId w:val="1"/>
        </w:numPr>
        <w:spacing w:after="160" w:line="278" w:lineRule="auto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Nietolerancja leczenia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– punkt 2.1 (kryteria kwalifikacji do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nusinersenu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)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W przypadku wystąpienia wyżej wymienionych okoliczności należy zgłaszać je do Zespołu Koordynującego w celu uzyskania kwalifikacji do zmiany terapii z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rysdyplamu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.</w:t>
      </w:r>
    </w:p>
    <w:p w:rsid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Biorąc pod uwagę zapisy w programie lekowym B.102.FM, możliwa jest także </w:t>
      </w:r>
      <w:r w:rsidRPr="001305D8">
        <w:rPr>
          <w:rFonts w:eastAsia="Aptos"/>
          <w:b/>
          <w:bCs/>
          <w:kern w:val="2"/>
          <w:sz w:val="24"/>
          <w:szCs w:val="24"/>
          <w:lang w:eastAsia="en-US"/>
          <w14:ligatures w14:val="standardContextual"/>
        </w:rPr>
        <w:t>powrotna zmiana terapii</w:t>
      </w: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z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rysdyplamu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, o ile oczywiście nie spełnione były wcześniej kryteria nieskuteczności 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nusinsersenu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.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Oznacza to, ze jeśli na przykład pacjentka z SMA, która była leczona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, ale zmieniła  lek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wskutek trudności w nakłuciach lędźwiowych planuje zajść w ciążę, może  zmienić leczenie ponownie na 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Zmiany  terapii z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 są równi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eż możliwe pod warunkiem spełnienia co najmniej jednego z następujących warunków: </w:t>
      </w:r>
    </w:p>
    <w:p w:rsidR="001305D8" w:rsidRPr="001305D8" w:rsidRDefault="001305D8" w:rsidP="001305D8">
      <w:pPr>
        <w:numPr>
          <w:ilvl w:val="0"/>
          <w:numId w:val="2"/>
        </w:numPr>
        <w:spacing w:after="160" w:line="278" w:lineRule="auto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przeciwwskazania do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w trakcie leczenia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, </w:t>
      </w:r>
    </w:p>
    <w:p w:rsidR="001305D8" w:rsidRPr="001305D8" w:rsidRDefault="001305D8" w:rsidP="001305D8">
      <w:pPr>
        <w:numPr>
          <w:ilvl w:val="0"/>
          <w:numId w:val="2"/>
        </w:numPr>
        <w:spacing w:after="160" w:line="278" w:lineRule="auto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pogorszenie  stanu neurologicznego w czasie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według kryteriów wyłączenia z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- punkt 2.3.4 programu lekowego B.102.FM; </w:t>
      </w:r>
    </w:p>
    <w:p w:rsidR="001305D8" w:rsidRPr="001305D8" w:rsidRDefault="001305D8" w:rsidP="001305D8">
      <w:pPr>
        <w:numPr>
          <w:ilvl w:val="0"/>
          <w:numId w:val="2"/>
        </w:numPr>
        <w:spacing w:after="160" w:line="278" w:lineRule="auto"/>
        <w:contextualSpacing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wielokrotne (dwa lub więcej) objawy niepożądane nakłucia lędźwiowego wymagające interwencji medycznej. 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W takim przypadku należy pacjenta wyłączyć z programu lekowego i włączyć ponownie, wypełniając wniosek do Zespołu Koordynującego. We wniosku do Zespołu Koordynującego należy opisać stan kliniczny pacjenta i powody zmiany terapii. 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U pacjentów leczonych wcześniej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, u których nastąpiła zmiana leczenia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ze względu na przeciwskazania względne lub przemijające do terapii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, powrotna zmiana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jest również możliwa. Należy opisać we wniosku do Zespołu Koordynującego stan kliniczny </w:t>
      </w: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lastRenderedPageBreak/>
        <w:t xml:space="preserve">pacjenta i powody związane ze zmianą powrotną do leczenia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nusinersenem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.  Również w tym  przypadku należy  wyłączyć pacjenta z programu lekowego i na nowo zakwalifikować. Właściwą wyjściową punktacją w skali funkcjonalnej jest punktacja uzyskana bezpośrednio przed podaniem pierwszej dawki leku po ponownej kwalifikacji.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Jeśli jednak przyczyną zmiany terapii z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nusinersenu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na </w:t>
      </w:r>
      <w:proofErr w:type="spellStart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>rysdyplam</w:t>
      </w:r>
      <w:proofErr w:type="spellEnd"/>
      <w:r w:rsidRPr="001305D8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była nieskuteczność  terapii dokanałowej, zmiana powrotna nie jest możliwa. </w:t>
      </w:r>
    </w:p>
    <w:p w:rsidR="001305D8" w:rsidRPr="001305D8" w:rsidRDefault="001305D8" w:rsidP="001305D8">
      <w:pPr>
        <w:spacing w:after="160" w:line="278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:rsidR="001305D8" w:rsidRPr="001305D8" w:rsidRDefault="001305D8" w:rsidP="00900BC1">
      <w:pPr>
        <w:rPr>
          <w:sz w:val="24"/>
          <w:szCs w:val="24"/>
        </w:rPr>
      </w:pPr>
    </w:p>
    <w:p w:rsidR="008F7B4F" w:rsidRPr="001305D8" w:rsidRDefault="008F7B4F" w:rsidP="00900BC1">
      <w:pPr>
        <w:rPr>
          <w:sz w:val="22"/>
          <w:szCs w:val="22"/>
        </w:rPr>
      </w:pPr>
    </w:p>
    <w:p w:rsidR="008F7B4F" w:rsidRPr="001305D8" w:rsidRDefault="008F7B4F" w:rsidP="00900BC1">
      <w:pPr>
        <w:rPr>
          <w:sz w:val="22"/>
          <w:szCs w:val="22"/>
        </w:rPr>
      </w:pPr>
    </w:p>
    <w:p w:rsidR="008F7B4F" w:rsidRPr="001305D8" w:rsidRDefault="008F7B4F" w:rsidP="00900BC1">
      <w:pPr>
        <w:rPr>
          <w:sz w:val="22"/>
          <w:szCs w:val="22"/>
        </w:rPr>
      </w:pPr>
    </w:p>
    <w:p w:rsidR="00AB662A" w:rsidRPr="001305D8" w:rsidRDefault="00AB662A" w:rsidP="00D230A7">
      <w:pPr>
        <w:spacing w:line="276" w:lineRule="auto"/>
        <w:rPr>
          <w:sz w:val="24"/>
          <w:szCs w:val="24"/>
        </w:rPr>
      </w:pPr>
    </w:p>
    <w:p w:rsidR="00AB662A" w:rsidRPr="001305D8" w:rsidRDefault="00AB662A" w:rsidP="00D230A7">
      <w:pPr>
        <w:spacing w:line="276" w:lineRule="auto"/>
        <w:rPr>
          <w:sz w:val="24"/>
          <w:szCs w:val="24"/>
        </w:rPr>
      </w:pPr>
    </w:p>
    <w:p w:rsidR="00AB662A" w:rsidRPr="001305D8" w:rsidRDefault="00AB662A" w:rsidP="00D230A7">
      <w:pPr>
        <w:spacing w:line="276" w:lineRule="auto"/>
        <w:rPr>
          <w:sz w:val="24"/>
          <w:szCs w:val="24"/>
        </w:rPr>
      </w:pPr>
    </w:p>
    <w:p w:rsidR="00CF3785" w:rsidRPr="001305D8" w:rsidRDefault="00CF3785" w:rsidP="00D230A7">
      <w:pPr>
        <w:spacing w:line="276" w:lineRule="auto"/>
        <w:rPr>
          <w:sz w:val="24"/>
          <w:szCs w:val="24"/>
        </w:rPr>
      </w:pPr>
    </w:p>
    <w:sectPr w:rsidR="00CF3785" w:rsidRPr="001305D8" w:rsidSect="001305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6D97"/>
    <w:multiLevelType w:val="hybridMultilevel"/>
    <w:tmpl w:val="EDB24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6E55"/>
    <w:multiLevelType w:val="hybridMultilevel"/>
    <w:tmpl w:val="978C6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C1"/>
    <w:rsid w:val="00061B9E"/>
    <w:rsid w:val="000C7794"/>
    <w:rsid w:val="00117902"/>
    <w:rsid w:val="001305D8"/>
    <w:rsid w:val="00261F79"/>
    <w:rsid w:val="00357180"/>
    <w:rsid w:val="003719F6"/>
    <w:rsid w:val="00387BEA"/>
    <w:rsid w:val="004F1462"/>
    <w:rsid w:val="00577CA5"/>
    <w:rsid w:val="005C5CDF"/>
    <w:rsid w:val="0063437F"/>
    <w:rsid w:val="00695029"/>
    <w:rsid w:val="007312A2"/>
    <w:rsid w:val="00734863"/>
    <w:rsid w:val="00794687"/>
    <w:rsid w:val="007C5600"/>
    <w:rsid w:val="0087641D"/>
    <w:rsid w:val="008A2F34"/>
    <w:rsid w:val="008D73FB"/>
    <w:rsid w:val="008F7B4F"/>
    <w:rsid w:val="00900BC1"/>
    <w:rsid w:val="009100BD"/>
    <w:rsid w:val="0092638A"/>
    <w:rsid w:val="00AB662A"/>
    <w:rsid w:val="00BF1587"/>
    <w:rsid w:val="00C623A0"/>
    <w:rsid w:val="00CE55DB"/>
    <w:rsid w:val="00CF3785"/>
    <w:rsid w:val="00D230A7"/>
    <w:rsid w:val="00D27D78"/>
    <w:rsid w:val="00D94A41"/>
    <w:rsid w:val="00EE686D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A52D"/>
  <w15:docId w15:val="{328C2355-672F-422C-8C45-14444B68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ESP2">
    <w:name w:val="ZESPÓŁ2"/>
    <w:basedOn w:val="Normalny"/>
    <w:rsid w:val="00900BC1"/>
    <w:pPr>
      <w:tabs>
        <w:tab w:val="right" w:pos="9967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</w:rPr>
  </w:style>
  <w:style w:type="paragraph" w:customStyle="1" w:styleId="ZESP">
    <w:name w:val="ZESPÓŁ"/>
    <w:basedOn w:val="Normalny"/>
    <w:rsid w:val="00900BC1"/>
    <w:pPr>
      <w:tabs>
        <w:tab w:val="right" w:pos="9967"/>
      </w:tabs>
      <w:overflowPunct w:val="0"/>
      <w:autoSpaceDE w:val="0"/>
      <w:autoSpaceDN w:val="0"/>
      <w:adjustRightInd w:val="0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C6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Martyna Bandoch</cp:lastModifiedBy>
  <cp:revision>11</cp:revision>
  <cp:lastPrinted>2025-07-18T08:17:00Z</cp:lastPrinted>
  <dcterms:created xsi:type="dcterms:W3CDTF">2025-07-18T08:14:00Z</dcterms:created>
  <dcterms:modified xsi:type="dcterms:W3CDTF">2026-01-12T11:38:00Z</dcterms:modified>
</cp:coreProperties>
</file>