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7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647D6" wp14:editId="694EC172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16E82" w:rsidP="00631B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Warszawa, wrzesień </w:t>
      </w:r>
      <w:r w:rsidR="00631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631B47" w:rsidRPr="00A8268A" w:rsidRDefault="00631B47" w:rsidP="00631B47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16E8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7,70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31B47" w:rsidRPr="00A8268A" w:rsidRDefault="00631B47" w:rsidP="00631B4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616E82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12.09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31B47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F435E9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</w:t>
      </w:r>
      <w:r w:rsidR="00616E8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” – pomieszczenie a o pow. 7,70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16E82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12.09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.2022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631B47" w:rsidRPr="00A8268A" w:rsidRDefault="00631B47" w:rsidP="00631B4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631B47" w:rsidRPr="00A8268A" w:rsidRDefault="00631B47" w:rsidP="00631B4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631B47" w:rsidRPr="00A8268A" w:rsidRDefault="00DE0095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="00631B47"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631B47" w:rsidRPr="00A8268A" w:rsidRDefault="00631B47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31B47" w:rsidRPr="00A8268A" w:rsidRDefault="00631B47" w:rsidP="00631B4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631B47" w:rsidRPr="00A8268A" w:rsidRDefault="00631B47" w:rsidP="00631B4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DE00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16E82"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7,70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1B47" w:rsidRPr="00A8268A" w:rsidRDefault="00616E82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16.09.2022 r. do  15.09</w:t>
      </w:r>
      <w:r w:rsidR="00FE6E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>2025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631B47" w:rsidRPr="00A8268A" w:rsidRDefault="00021C9A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15</w:t>
      </w:r>
      <w:r w:rsidR="00C805A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……………………………………………...                                                                                                                                                                             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REGON: ……………, zwaną w dalszej części umowy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631B47" w:rsidRPr="00A8268A" w:rsidRDefault="00616E82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01.01.2024</w:t>
      </w:r>
      <w:bookmarkStart w:id="0" w:name="_GoBack"/>
      <w:bookmarkEnd w:id="0"/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1B47" w:rsidRPr="00A8268A" w:rsidRDefault="00631B47" w:rsidP="00631B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95 1560 0013 2367 2381 0996 0001.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631B47" w:rsidRPr="000D6698" w:rsidRDefault="00631B47" w:rsidP="006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631B47" w:rsidRPr="00A8268A" w:rsidRDefault="00631B47" w:rsidP="00631B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1B47" w:rsidRPr="00A8268A" w:rsidRDefault="00631B47" w:rsidP="0063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631B47" w:rsidRPr="00A8268A" w:rsidRDefault="00631B47" w:rsidP="00631B4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23549154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31B47" w:rsidRDefault="00631B47" w:rsidP="00631B47"/>
    <w:p w:rsidR="003E1DB2" w:rsidRDefault="003E1DB2"/>
    <w:sectPr w:rsidR="003E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A"/>
    <w:rsid w:val="00021C9A"/>
    <w:rsid w:val="003E1DB2"/>
    <w:rsid w:val="005F397A"/>
    <w:rsid w:val="00616E82"/>
    <w:rsid w:val="00631B47"/>
    <w:rsid w:val="008C4A1E"/>
    <w:rsid w:val="00BA6B11"/>
    <w:rsid w:val="00C805A5"/>
    <w:rsid w:val="00DE0095"/>
    <w:rsid w:val="00ED4E7E"/>
    <w:rsid w:val="00F435E9"/>
    <w:rsid w:val="00FD12A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99D3"/>
  <w15:chartTrackingRefBased/>
  <w15:docId w15:val="{2C4DCD10-9DDE-4322-B686-BBC5382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3069</Words>
  <Characters>18416</Characters>
  <Application>Microsoft Office Word</Application>
  <DocSecurity>0</DocSecurity>
  <Lines>153</Lines>
  <Paragraphs>42</Paragraphs>
  <ScaleCrop>false</ScaleCrop>
  <Company>Instytut "Pomnik - Centrum Zdrowia Dziecka"</Company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12</cp:revision>
  <dcterms:created xsi:type="dcterms:W3CDTF">2022-03-09T08:56:00Z</dcterms:created>
  <dcterms:modified xsi:type="dcterms:W3CDTF">2022-09-01T12:53:00Z</dcterms:modified>
</cp:coreProperties>
</file>